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FAD6" w14:textId="245A1D18" w:rsidR="001541AB" w:rsidRPr="00247439" w:rsidRDefault="00665757" w:rsidP="00665757">
      <w:pPr>
        <w:pStyle w:val="aff0"/>
      </w:pPr>
      <w:r w:rsidRPr="00247439">
        <w:t>Supplementary material</w:t>
      </w:r>
    </w:p>
    <w:p w14:paraId="301AF172" w14:textId="77777777" w:rsidR="00665757" w:rsidRPr="00247439" w:rsidRDefault="00665757" w:rsidP="00665757">
      <w:pPr>
        <w:pStyle w:val="aff0"/>
        <w:rPr>
          <w:lang w:eastAsia="zh-HK"/>
        </w:rPr>
      </w:pPr>
    </w:p>
    <w:p w14:paraId="1192B831" w14:textId="757D16AC" w:rsidR="001541AB" w:rsidRPr="00247439" w:rsidRDefault="00126A97" w:rsidP="00665757">
      <w:pPr>
        <w:pStyle w:val="af3"/>
        <w:spacing w:before="297" w:after="297"/>
        <w:rPr>
          <w:lang w:val="en-GB" w:eastAsia="zh-HK"/>
        </w:rPr>
      </w:pPr>
      <w:r w:rsidRPr="00247439">
        <w:rPr>
          <w:lang w:val="en-GB" w:eastAsia="zh-HK"/>
        </w:rPr>
        <w:t>Low cardiac output syndrome after adult cardiac surgery</w:t>
      </w:r>
    </w:p>
    <w:p w14:paraId="227FC8EA" w14:textId="3F71AEA5" w:rsidR="001541AB" w:rsidRPr="00247439" w:rsidRDefault="001541AB" w:rsidP="00665757">
      <w:pPr>
        <w:ind w:firstLineChars="0" w:firstLine="0"/>
        <w:jc w:val="center"/>
        <w:rPr>
          <w:lang w:val="it-IT" w:eastAsia="zh-HK"/>
        </w:rPr>
      </w:pPr>
      <w:r w:rsidRPr="00247439">
        <w:rPr>
          <w:lang w:val="it-IT" w:eastAsia="zh-HK"/>
        </w:rPr>
        <w:t>A. Belletti, V.V. Lomivorotov, A. Zangrillo, M. Pieri</w:t>
      </w:r>
    </w:p>
    <w:p w14:paraId="0745B9AD" w14:textId="79347246" w:rsidR="00665757" w:rsidRPr="00247439" w:rsidRDefault="00665757" w:rsidP="00665757">
      <w:pPr>
        <w:ind w:firstLineChars="0" w:firstLine="0"/>
        <w:jc w:val="center"/>
        <w:rPr>
          <w:lang w:val="it-IT" w:eastAsia="zh-HK"/>
        </w:rPr>
      </w:pPr>
    </w:p>
    <w:p w14:paraId="46E648A1" w14:textId="77777777" w:rsidR="00665757" w:rsidRPr="00247439" w:rsidRDefault="00665757" w:rsidP="00665757">
      <w:pPr>
        <w:ind w:firstLineChars="0" w:firstLine="0"/>
        <w:jc w:val="center"/>
        <w:rPr>
          <w:lang w:val="it-IT" w:eastAsia="zh-HK"/>
        </w:rPr>
      </w:pPr>
    </w:p>
    <w:p w14:paraId="6C7F9987" w14:textId="298AB446" w:rsidR="0032069E" w:rsidRPr="00247439" w:rsidRDefault="0032069E" w:rsidP="00665757">
      <w:pPr>
        <w:ind w:firstLine="422"/>
        <w:rPr>
          <w:b/>
        </w:rPr>
      </w:pPr>
      <w:r w:rsidRPr="00247439">
        <w:rPr>
          <w:b/>
        </w:rPr>
        <w:t>D</w:t>
      </w:r>
      <w:r w:rsidR="00665757" w:rsidRPr="00247439">
        <w:rPr>
          <w:b/>
        </w:rPr>
        <w:t>etails on mechanisms of actions of inotropes and vasopressors</w:t>
      </w:r>
    </w:p>
    <w:p w14:paraId="732A0C2B" w14:textId="07D12D78" w:rsidR="002D6D93" w:rsidRPr="00247439" w:rsidRDefault="002D6D93" w:rsidP="00665757">
      <w:pPr>
        <w:ind w:firstLine="420"/>
      </w:pPr>
      <w:r w:rsidRPr="00247439">
        <w:t>Catecholamines (</w:t>
      </w:r>
      <w:r w:rsidRPr="00247439">
        <w:rPr>
          <w:i/>
        </w:rPr>
        <w:t>e.g.</w:t>
      </w:r>
      <w:r w:rsidR="000D314A" w:rsidRPr="00247439">
        <w:t>,</w:t>
      </w:r>
      <w:r w:rsidRPr="00247439">
        <w:t xml:space="preserve"> epinephrine, norepinephrine, dobutamine) exerts their effect through stimulation of adrenergic receptors</w:t>
      </w:r>
      <w:r w:rsidR="000D314A" w:rsidRPr="00247439">
        <w:t xml:space="preserve"> [1–4]</w:t>
      </w:r>
      <w:r w:rsidRPr="00247439">
        <w:t>. The main cardiovascular adrenergic receptors subtypes include α-, β</w:t>
      </w:r>
      <w:r w:rsidRPr="00247439">
        <w:rPr>
          <w:vertAlign w:val="subscript"/>
        </w:rPr>
        <w:t>1</w:t>
      </w:r>
      <w:r w:rsidRPr="00247439">
        <w:t>-, and β</w:t>
      </w:r>
      <w:r w:rsidRPr="00247439">
        <w:rPr>
          <w:vertAlign w:val="subscript"/>
        </w:rPr>
        <w:t>2</w:t>
      </w:r>
      <w:r w:rsidRPr="00247439">
        <w:t>-adrenergic receptors: β</w:t>
      </w:r>
      <w:r w:rsidRPr="00247439">
        <w:rPr>
          <w:vertAlign w:val="subscript"/>
        </w:rPr>
        <w:t>1</w:t>
      </w:r>
      <w:r w:rsidRPr="00247439">
        <w:t xml:space="preserve">-receptors stimulation produces and increase in </w:t>
      </w:r>
      <w:proofErr w:type="spellStart"/>
      <w:r w:rsidRPr="00247439">
        <w:t>ino</w:t>
      </w:r>
      <w:proofErr w:type="spellEnd"/>
      <w:r w:rsidRPr="00247439">
        <w:t>- and chronotropism, while stimulation of β</w:t>
      </w:r>
      <w:r w:rsidRPr="00247439">
        <w:rPr>
          <w:vertAlign w:val="subscript"/>
        </w:rPr>
        <w:t>2</w:t>
      </w:r>
      <w:r w:rsidRPr="00247439">
        <w:t xml:space="preserve">- and α-receptors produces vasodilation and vasoconstriction, respectively. The hemodynamic effect of the different catecholamines depends on the relative affinity for each receptor, and is summarized in </w:t>
      </w:r>
      <w:r w:rsidR="000D314A" w:rsidRPr="00247439">
        <w:rPr>
          <w:b/>
          <w:bCs/>
        </w:rPr>
        <w:t>Supplementary</w:t>
      </w:r>
      <w:r w:rsidR="000D314A" w:rsidRPr="00247439">
        <w:t xml:space="preserve"> </w:t>
      </w:r>
      <w:r w:rsidRPr="00247439">
        <w:rPr>
          <w:b/>
        </w:rPr>
        <w:t xml:space="preserve">Table </w:t>
      </w:r>
      <w:r w:rsidR="001179F7" w:rsidRPr="00247439">
        <w:rPr>
          <w:b/>
        </w:rPr>
        <w:t>1</w:t>
      </w:r>
      <w:r w:rsidR="000D314A" w:rsidRPr="00247439">
        <w:rPr>
          <w:b/>
        </w:rPr>
        <w:t xml:space="preserve"> </w:t>
      </w:r>
      <w:r w:rsidR="000D314A" w:rsidRPr="00247439">
        <w:t>(Ref. [3])</w:t>
      </w:r>
      <w:r w:rsidRPr="00247439">
        <w:t>.</w:t>
      </w:r>
    </w:p>
    <w:p w14:paraId="483C36B5" w14:textId="658F4A26" w:rsidR="000D314A" w:rsidRPr="00247439" w:rsidRDefault="000D314A" w:rsidP="000D314A">
      <w:pPr>
        <w:pStyle w:val="af3"/>
        <w:spacing w:before="297" w:after="297"/>
      </w:pPr>
      <w:r w:rsidRPr="00247439">
        <w:rPr>
          <w:bCs/>
        </w:rPr>
        <w:t>Supplementary Table 1.</w:t>
      </w:r>
      <w:r w:rsidRPr="00247439">
        <w:t xml:space="preserve"> Affinity of the different catecholamines for different adrenergic receptors. Adapted from Fellahi </w:t>
      </w:r>
      <w:r w:rsidRPr="00247439">
        <w:rPr>
          <w:i/>
        </w:rPr>
        <w:t>et al.</w:t>
      </w:r>
      <w:r w:rsidRPr="00247439">
        <w:t xml:space="preserve"> [</w:t>
      </w:r>
      <w:r w:rsidRPr="00247439">
        <w:rPr>
          <w:noProof/>
        </w:rPr>
        <w:t>3].</w:t>
      </w:r>
    </w:p>
    <w:tbl>
      <w:tblPr>
        <w:tblStyle w:val="2-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1696"/>
        <w:gridCol w:w="1697"/>
        <w:gridCol w:w="1697"/>
        <w:gridCol w:w="1697"/>
      </w:tblGrid>
      <w:tr w:rsidR="000D314A" w:rsidRPr="00247439" w14:paraId="263F6E4A" w14:textId="77777777" w:rsidTr="000D3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vAlign w:val="center"/>
          </w:tcPr>
          <w:p w14:paraId="5ACF4A64" w14:textId="77777777" w:rsidR="000D314A" w:rsidRPr="00247439" w:rsidRDefault="000D314A" w:rsidP="000D314A">
            <w:pPr>
              <w:ind w:firstLineChars="0" w:firstLine="0"/>
              <w:rPr>
                <w:b w:val="0"/>
              </w:rPr>
            </w:pPr>
            <w:r w:rsidRPr="00247439">
              <w:rPr>
                <w:b w:val="0"/>
              </w:rPr>
              <w:t>Agonists</w:t>
            </w:r>
          </w:p>
        </w:tc>
        <w:tc>
          <w:tcPr>
            <w:tcW w:w="6795" w:type="dxa"/>
            <w:gridSpan w:val="4"/>
            <w:vAlign w:val="center"/>
          </w:tcPr>
          <w:p w14:paraId="5D65D23E" w14:textId="77777777" w:rsidR="000D314A" w:rsidRPr="00247439" w:rsidRDefault="000D314A" w:rsidP="000D314A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47439">
              <w:rPr>
                <w:b w:val="0"/>
              </w:rPr>
              <w:t>Receptors</w:t>
            </w:r>
          </w:p>
        </w:tc>
      </w:tr>
      <w:tr w:rsidR="000D314A" w:rsidRPr="00247439" w14:paraId="5735E8EF" w14:textId="77777777" w:rsidTr="000D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auto"/>
            <w:vAlign w:val="center"/>
          </w:tcPr>
          <w:p w14:paraId="6A76D796" w14:textId="77777777" w:rsidR="000D314A" w:rsidRPr="00247439" w:rsidRDefault="000D314A" w:rsidP="000D314A">
            <w:pPr>
              <w:ind w:firstLineChars="0" w:firstLine="0"/>
              <w:rPr>
                <w:b w:val="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C397300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α</w:t>
            </w:r>
            <w:r w:rsidRPr="00247439">
              <w:rPr>
                <w:vertAlign w:val="subscript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2FDBB36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β</w:t>
            </w:r>
            <w:r w:rsidRPr="00247439">
              <w:rPr>
                <w:vertAlign w:val="subscript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B03FC55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β</w:t>
            </w:r>
            <w:r w:rsidRPr="00247439">
              <w:rPr>
                <w:vertAlign w:val="subscript"/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2F40A24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DA1</w:t>
            </w:r>
          </w:p>
        </w:tc>
      </w:tr>
      <w:tr w:rsidR="000D314A" w:rsidRPr="00247439" w14:paraId="06983FBA" w14:textId="77777777" w:rsidTr="000D314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vAlign w:val="center"/>
          </w:tcPr>
          <w:p w14:paraId="4A35FB34" w14:textId="77777777" w:rsidR="000D314A" w:rsidRPr="00247439" w:rsidRDefault="000D314A" w:rsidP="000D314A">
            <w:pPr>
              <w:ind w:firstLineChars="0" w:firstLine="0"/>
              <w:rPr>
                <w:b w:val="0"/>
              </w:rPr>
            </w:pPr>
            <w:proofErr w:type="spellStart"/>
            <w:r w:rsidRPr="00247439">
              <w:rPr>
                <w:b w:val="0"/>
              </w:rPr>
              <w:t>Inoconstrictors</w:t>
            </w:r>
            <w:proofErr w:type="spellEnd"/>
          </w:p>
        </w:tc>
        <w:tc>
          <w:tcPr>
            <w:tcW w:w="1698" w:type="dxa"/>
            <w:vAlign w:val="center"/>
          </w:tcPr>
          <w:p w14:paraId="13F2E6B1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6888BDE2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60E98009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78E1B98D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14A" w:rsidRPr="00247439" w14:paraId="2BFD9A17" w14:textId="77777777" w:rsidTr="000D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auto"/>
            <w:vAlign w:val="center"/>
          </w:tcPr>
          <w:p w14:paraId="19D16C75" w14:textId="303F9A42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Norepinephrine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23A8C97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B30264A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139CFE2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1E8D344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0</w:t>
            </w:r>
          </w:p>
        </w:tc>
      </w:tr>
      <w:tr w:rsidR="000D314A" w:rsidRPr="00247439" w14:paraId="1CB25E7A" w14:textId="77777777" w:rsidTr="000D314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vAlign w:val="center"/>
          </w:tcPr>
          <w:p w14:paraId="3B0D3BA6" w14:textId="722A27B2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Epinephrine</w:t>
            </w:r>
          </w:p>
        </w:tc>
        <w:tc>
          <w:tcPr>
            <w:tcW w:w="1698" w:type="dxa"/>
            <w:vAlign w:val="center"/>
          </w:tcPr>
          <w:p w14:paraId="05B61A3D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vAlign w:val="center"/>
          </w:tcPr>
          <w:p w14:paraId="36193BDA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vAlign w:val="center"/>
          </w:tcPr>
          <w:p w14:paraId="0119DBB0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++</w:t>
            </w:r>
          </w:p>
        </w:tc>
        <w:tc>
          <w:tcPr>
            <w:tcW w:w="1699" w:type="dxa"/>
            <w:vAlign w:val="center"/>
          </w:tcPr>
          <w:p w14:paraId="580D98F9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0</w:t>
            </w:r>
          </w:p>
        </w:tc>
      </w:tr>
      <w:tr w:rsidR="000D314A" w:rsidRPr="00247439" w14:paraId="774B7CCC" w14:textId="77777777" w:rsidTr="000D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auto"/>
            <w:vAlign w:val="center"/>
          </w:tcPr>
          <w:p w14:paraId="01DF4158" w14:textId="76FA4F57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Dopamine*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CDA8A55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6F9D605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9944108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8F80C3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</w:t>
            </w:r>
          </w:p>
        </w:tc>
      </w:tr>
      <w:tr w:rsidR="000D314A" w:rsidRPr="00247439" w14:paraId="3F611CBF" w14:textId="77777777" w:rsidTr="000D314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vAlign w:val="center"/>
          </w:tcPr>
          <w:p w14:paraId="25FF94A6" w14:textId="77777777" w:rsidR="000D314A" w:rsidRPr="00247439" w:rsidRDefault="000D314A" w:rsidP="000D314A">
            <w:pPr>
              <w:ind w:firstLineChars="0" w:firstLine="0"/>
              <w:rPr>
                <w:b w:val="0"/>
              </w:rPr>
            </w:pPr>
            <w:r w:rsidRPr="00247439">
              <w:rPr>
                <w:b w:val="0"/>
              </w:rPr>
              <w:t>Inodilators</w:t>
            </w:r>
          </w:p>
        </w:tc>
        <w:tc>
          <w:tcPr>
            <w:tcW w:w="1698" w:type="dxa"/>
            <w:vAlign w:val="center"/>
          </w:tcPr>
          <w:p w14:paraId="58F66591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7FA34D87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36E23CCA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9" w:type="dxa"/>
            <w:vAlign w:val="center"/>
          </w:tcPr>
          <w:p w14:paraId="2042D7E5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14A" w:rsidRPr="00247439" w14:paraId="2BFE33D0" w14:textId="77777777" w:rsidTr="000D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auto"/>
            <w:vAlign w:val="center"/>
          </w:tcPr>
          <w:p w14:paraId="0B9899D7" w14:textId="09CEFE6E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Dobutamine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528766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1213A09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2BC26FD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73088D5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0</w:t>
            </w:r>
          </w:p>
        </w:tc>
      </w:tr>
      <w:tr w:rsidR="000D314A" w:rsidRPr="00247439" w14:paraId="699D004E" w14:textId="77777777" w:rsidTr="000D314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vAlign w:val="center"/>
          </w:tcPr>
          <w:p w14:paraId="521683A2" w14:textId="7B6016FA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Dopexamine</w:t>
            </w:r>
          </w:p>
        </w:tc>
        <w:tc>
          <w:tcPr>
            <w:tcW w:w="1698" w:type="dxa"/>
            <w:vAlign w:val="center"/>
          </w:tcPr>
          <w:p w14:paraId="44C4CC39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0</w:t>
            </w:r>
          </w:p>
        </w:tc>
        <w:tc>
          <w:tcPr>
            <w:tcW w:w="1699" w:type="dxa"/>
            <w:vAlign w:val="center"/>
          </w:tcPr>
          <w:p w14:paraId="4CDB6F89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</w:t>
            </w:r>
          </w:p>
        </w:tc>
        <w:tc>
          <w:tcPr>
            <w:tcW w:w="1699" w:type="dxa"/>
            <w:vAlign w:val="center"/>
          </w:tcPr>
          <w:p w14:paraId="1952C9E4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vAlign w:val="center"/>
          </w:tcPr>
          <w:p w14:paraId="1817F19E" w14:textId="77777777" w:rsidR="000D314A" w:rsidRPr="00247439" w:rsidRDefault="000D314A" w:rsidP="000D314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439">
              <w:t>+</w:t>
            </w:r>
          </w:p>
        </w:tc>
      </w:tr>
      <w:tr w:rsidR="000D314A" w:rsidRPr="00247439" w14:paraId="3549BCE6" w14:textId="77777777" w:rsidTr="000D3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  <w:shd w:val="clear" w:color="auto" w:fill="auto"/>
            <w:vAlign w:val="center"/>
          </w:tcPr>
          <w:p w14:paraId="47219C3C" w14:textId="6E99610C" w:rsidR="000D314A" w:rsidRPr="00247439" w:rsidRDefault="000D314A" w:rsidP="000D314A">
            <w:pPr>
              <w:pStyle w:val="aa"/>
              <w:ind w:left="0" w:firstLineChars="0" w:firstLine="0"/>
              <w:rPr>
                <w:b w:val="0"/>
                <w:bCs w:val="0"/>
              </w:rPr>
            </w:pPr>
            <w:r w:rsidRPr="00247439">
              <w:rPr>
                <w:b w:val="0"/>
                <w:bCs w:val="0"/>
              </w:rPr>
              <w:sym w:font="Symbol" w:char="F0B7"/>
            </w:r>
            <w:r w:rsidRPr="00247439">
              <w:rPr>
                <w:b w:val="0"/>
                <w:bCs w:val="0"/>
              </w:rPr>
              <w:t xml:space="preserve"> Isoproterenol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F7372D9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B09F2DB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7B69780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+++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2DEB81C" w14:textId="77777777" w:rsidR="000D314A" w:rsidRPr="00247439" w:rsidRDefault="000D314A" w:rsidP="000D314A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439">
              <w:t>0</w:t>
            </w:r>
          </w:p>
        </w:tc>
      </w:tr>
    </w:tbl>
    <w:p w14:paraId="68E09C45" w14:textId="29F39DEB" w:rsidR="000D314A" w:rsidRPr="00247439" w:rsidRDefault="000D314A" w:rsidP="000D314A">
      <w:pPr>
        <w:pStyle w:val="af4"/>
        <w:jc w:val="both"/>
      </w:pPr>
      <w:r w:rsidRPr="00247439">
        <w:t>*The affinity of dopamine for different receptors is considered to be dose-dependent: dopaminergic effect for dose 2</w:t>
      </w:r>
      <w:r w:rsidR="007310C7" w:rsidRPr="00247439">
        <w:t>–</w:t>
      </w:r>
      <w:r w:rsidRPr="00247439">
        <w:t>5 μg/kg/min; β-agonist effect for dose 5</w:t>
      </w:r>
      <w:r w:rsidR="007310C7" w:rsidRPr="00247439">
        <w:t>–</w:t>
      </w:r>
      <w:r w:rsidRPr="00247439">
        <w:t>10 μg/kg/min; α</w:t>
      </w:r>
      <w:r w:rsidR="007310C7" w:rsidRPr="00247439">
        <w:t>-adrenergic effect for dose &gt;</w:t>
      </w:r>
      <w:r w:rsidRPr="00247439">
        <w:t>10 μg/kg/min</w:t>
      </w:r>
      <w:r w:rsidR="007310C7" w:rsidRPr="00247439">
        <w:t>.</w:t>
      </w:r>
    </w:p>
    <w:p w14:paraId="0BD7F64F" w14:textId="77777777" w:rsidR="000D314A" w:rsidRPr="00247439" w:rsidRDefault="000D314A" w:rsidP="000D314A">
      <w:pPr>
        <w:pStyle w:val="af4"/>
        <w:jc w:val="both"/>
        <w:rPr>
          <w:rFonts w:eastAsiaTheme="minorEastAsia"/>
        </w:rPr>
      </w:pPr>
    </w:p>
    <w:p w14:paraId="7710F61C" w14:textId="77777777" w:rsidR="000D314A" w:rsidRPr="00247439" w:rsidRDefault="000D314A" w:rsidP="000D314A">
      <w:pPr>
        <w:pStyle w:val="af4"/>
        <w:jc w:val="both"/>
        <w:rPr>
          <w:rFonts w:eastAsiaTheme="minorEastAsia"/>
        </w:rPr>
      </w:pPr>
    </w:p>
    <w:p w14:paraId="2F21D398" w14:textId="33266132" w:rsidR="002D6D93" w:rsidRPr="00247439" w:rsidRDefault="002D6D93" w:rsidP="00665757">
      <w:pPr>
        <w:ind w:firstLine="420"/>
      </w:pPr>
      <w:r w:rsidRPr="00247439">
        <w:t xml:space="preserve">The mechanism of actions of catecholamines is presented in </w:t>
      </w:r>
      <w:r w:rsidR="00EF0122" w:rsidRPr="00247439">
        <w:rPr>
          <w:b/>
          <w:bCs/>
        </w:rPr>
        <w:t>Supplementary</w:t>
      </w:r>
      <w:r w:rsidR="00EF0122" w:rsidRPr="00247439">
        <w:t xml:space="preserve"> </w:t>
      </w:r>
      <w:r w:rsidRPr="00247439">
        <w:rPr>
          <w:b/>
        </w:rPr>
        <w:t>Fig</w:t>
      </w:r>
      <w:r w:rsidR="00EF0122" w:rsidRPr="00247439">
        <w:rPr>
          <w:b/>
        </w:rPr>
        <w:t>.</w:t>
      </w:r>
      <w:r w:rsidRPr="00247439">
        <w:rPr>
          <w:b/>
        </w:rPr>
        <w:t xml:space="preserve"> </w:t>
      </w:r>
      <w:r w:rsidR="001179F7" w:rsidRPr="00247439">
        <w:rPr>
          <w:b/>
        </w:rPr>
        <w:t>1</w:t>
      </w:r>
      <w:r w:rsidR="00EF0122" w:rsidRPr="00247439">
        <w:t xml:space="preserve"> (Ref. [2])</w:t>
      </w:r>
      <w:r w:rsidRPr="00247439">
        <w:t>.</w:t>
      </w:r>
    </w:p>
    <w:p w14:paraId="116722DD" w14:textId="3E3695DD" w:rsidR="00C36C74" w:rsidRPr="00247439" w:rsidRDefault="00C36C74" w:rsidP="00EF0122">
      <w:pPr>
        <w:ind w:firstLine="420"/>
        <w:jc w:val="center"/>
        <w:rPr>
          <w:rFonts w:eastAsiaTheme="minorEastAsia"/>
        </w:rPr>
      </w:pPr>
      <w:r w:rsidRPr="00247439">
        <w:rPr>
          <w:noProof/>
        </w:rPr>
        <w:lastRenderedPageBreak/>
        <w:drawing>
          <wp:inline distT="0" distB="0" distL="0" distR="0" wp14:anchorId="3A37E394" wp14:editId="58D9FFC9">
            <wp:extent cx="4899660" cy="6766865"/>
            <wp:effectExtent l="0" t="0" r="0" b="0"/>
            <wp:docPr id="641274028" name="Immagine 1" descr="Immagine che contiene testo, schermata, diagramm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4028" name="Immagine 1" descr="Immagine che contiene testo, schermata, diagramm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3"/>
                    <a:stretch/>
                  </pic:blipFill>
                  <pic:spPr bwMode="auto">
                    <a:xfrm>
                      <a:off x="0" y="0"/>
                      <a:ext cx="4899660" cy="67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5A9BE" w14:textId="542F1460" w:rsidR="00EF0122" w:rsidRPr="00247439" w:rsidRDefault="00EF0122" w:rsidP="00EF0122">
      <w:pPr>
        <w:pStyle w:val="afe"/>
        <w:jc w:val="both"/>
        <w:rPr>
          <w:vertAlign w:val="superscript"/>
        </w:rPr>
      </w:pPr>
      <w:r w:rsidRPr="00247439">
        <w:rPr>
          <w:b/>
          <w:bCs/>
        </w:rPr>
        <w:t>Supplementary</w:t>
      </w:r>
      <w:r w:rsidRPr="00247439">
        <w:t xml:space="preserve"> </w:t>
      </w:r>
      <w:r w:rsidRPr="00247439">
        <w:rPr>
          <w:b/>
          <w:bCs/>
        </w:rPr>
        <w:t xml:space="preserve">Fig. 1. </w:t>
      </w:r>
      <w:r w:rsidR="00C36C74" w:rsidRPr="00247439">
        <w:rPr>
          <w:b/>
          <w:bCs/>
        </w:rPr>
        <w:t>Mechanism of action of catecholamines.</w:t>
      </w:r>
      <w:r w:rsidR="00C36C74" w:rsidRPr="00247439">
        <w:t xml:space="preserve"> </w:t>
      </w:r>
      <w:r w:rsidRPr="00247439">
        <w:t>(A</w:t>
      </w:r>
      <w:r w:rsidR="00C36C74" w:rsidRPr="00247439">
        <w:t>)</w:t>
      </w:r>
      <w:r w:rsidRPr="00247439">
        <w:t xml:space="preserve"> </w:t>
      </w:r>
      <w:r w:rsidR="00C36C74" w:rsidRPr="00247439">
        <w:t xml:space="preserve">β-adrenergic receptor signaling pathway. (B) α-adrenergic receptor signaling pathway. </w:t>
      </w:r>
      <w:r w:rsidRPr="00247439">
        <w:t>cAMP: cyclic adenosine monophosphate; DAG: diacylglycerol; PiP</w:t>
      </w:r>
      <w:r w:rsidRPr="00247439">
        <w:rPr>
          <w:vertAlign w:val="subscript"/>
        </w:rPr>
        <w:t>2</w:t>
      </w:r>
      <w:r w:rsidRPr="00247439">
        <w:t xml:space="preserve">: phosphatidil-inositol-4,5-biphosphate; SR: sarcoplasmic reticulum. Adapted from Overgaard </w:t>
      </w:r>
      <w:r w:rsidRPr="00247439">
        <w:rPr>
          <w:i/>
        </w:rPr>
        <w:t>et al.</w:t>
      </w:r>
      <w:r w:rsidRPr="00247439">
        <w:t xml:space="preserve"> [</w:t>
      </w:r>
      <w:r w:rsidRPr="00247439">
        <w:rPr>
          <w:noProof/>
        </w:rPr>
        <w:t>2].</w:t>
      </w:r>
    </w:p>
    <w:p w14:paraId="7C72A74E" w14:textId="5EB8D896" w:rsidR="00EF0122" w:rsidRPr="00247439" w:rsidRDefault="00EF0122" w:rsidP="00EF0122">
      <w:pPr>
        <w:pStyle w:val="afe"/>
        <w:jc w:val="both"/>
      </w:pPr>
    </w:p>
    <w:p w14:paraId="3FBF3F5E" w14:textId="309CBCF6" w:rsidR="002D6D93" w:rsidRPr="00247439" w:rsidRDefault="002D6D93" w:rsidP="00665757">
      <w:pPr>
        <w:ind w:firstLine="420"/>
      </w:pPr>
      <w:r w:rsidRPr="00247439">
        <w:t>Of note, catecholamines have well-known side effects on cardiovascular and other organ systems that include increased myocardial oxygen consumption, development of arrhythmias, induction of cardiomyocytes apoptosis</w:t>
      </w:r>
      <w:r w:rsidR="005F4DF0" w:rsidRPr="00247439">
        <w:t xml:space="preserve"> [5]</w:t>
      </w:r>
      <w:r w:rsidRPr="00247439">
        <w:t>, immunosuppressive and pro-thrombotic effects</w:t>
      </w:r>
      <w:r w:rsidR="005F4DF0" w:rsidRPr="00247439">
        <w:t xml:space="preserve"> [6–8]</w:t>
      </w:r>
      <w:r w:rsidRPr="00247439">
        <w:t xml:space="preserve">. The main advantages of catecholamines are the short half-life that allows for rapid titration of the drugs to clinical effects, the longstanding experience in their clinical use, and the low costs. Indeed, catecholamines remain the most frequently administered </w:t>
      </w:r>
      <w:proofErr w:type="spellStart"/>
      <w:r w:rsidRPr="00247439">
        <w:t>vasoactives</w:t>
      </w:r>
      <w:proofErr w:type="spellEnd"/>
      <w:r w:rsidRPr="00247439">
        <w:t xml:space="preserve"> in critically ill patients, and the first-line drugs </w:t>
      </w:r>
      <w:proofErr w:type="spellStart"/>
      <w:r w:rsidRPr="00247439">
        <w:t>vasoactives</w:t>
      </w:r>
      <w:proofErr w:type="spellEnd"/>
      <w:r w:rsidRPr="00247439">
        <w:t xml:space="preserve"> drugs for patients with circulatory shock as recommended by several professional societies guidelines</w:t>
      </w:r>
      <w:r w:rsidR="005F4DF0" w:rsidRPr="00247439">
        <w:t xml:space="preserve"> [9–15]</w:t>
      </w:r>
      <w:r w:rsidRPr="00247439">
        <w:t>.</w:t>
      </w:r>
    </w:p>
    <w:p w14:paraId="26EEC820" w14:textId="7C9902BC" w:rsidR="002D6D93" w:rsidRPr="00247439" w:rsidRDefault="002D6D93" w:rsidP="00665757">
      <w:pPr>
        <w:ind w:firstLine="420"/>
        <w:rPr>
          <w:noProof/>
        </w:rPr>
      </w:pPr>
      <w:r w:rsidRPr="00247439">
        <w:t>Phosphdiesterase-3</w:t>
      </w:r>
      <w:r w:rsidR="00657DF8" w:rsidRPr="00247439">
        <w:t xml:space="preserve"> (PDE-3)</w:t>
      </w:r>
      <w:r w:rsidRPr="00247439">
        <w:t xml:space="preserve"> inhibitors are the other major class of inotropes and generally the second most </w:t>
      </w:r>
      <w:r w:rsidRPr="00247439">
        <w:lastRenderedPageBreak/>
        <w:t>frequently administered in cardiac surgery patients. Differently from catecholamines, PDE-3 inhibitors do not have a specific receptor but act on the adrenergic system by blocking cyclic adenosine monophosphate degradation (cAMP), one</w:t>
      </w:r>
      <w:r w:rsidR="001179F7" w:rsidRPr="00247439">
        <w:t xml:space="preserve"> of</w:t>
      </w:r>
      <w:r w:rsidRPr="00247439">
        <w:rPr>
          <w:color w:val="EE0000"/>
        </w:rPr>
        <w:t xml:space="preserve"> </w:t>
      </w:r>
      <w:r w:rsidRPr="00247439">
        <w:t xml:space="preserve">the key secondary messengers of the adrenergic receptor signaling pathway. Phosphdiesterase-3 inhibitors are characterized by an </w:t>
      </w:r>
      <w:proofErr w:type="spellStart"/>
      <w:r w:rsidRPr="00247439">
        <w:t>inodilatory</w:t>
      </w:r>
      <w:proofErr w:type="spellEnd"/>
      <w:r w:rsidRPr="00247439">
        <w:t xml:space="preserve"> effect (that may result in profound hypotension, especially in hypovolemic patients), a vasodilating effect on pulmonary circulation, a relatively long half-life, and possibility to produce cardiovascular effect even in case of beta-blockers on board or adrenergic receptor desensitization</w:t>
      </w:r>
      <w:r w:rsidR="005F4DF0" w:rsidRPr="00247439">
        <w:t xml:space="preserve"> [8]</w:t>
      </w:r>
      <w:r w:rsidRPr="00247439">
        <w:t xml:space="preserve">. Similar to catecholamines, PDE-3 inhibitors increase myocardial oxygen consumption, can be pro-arrhythmogenic, and may induce myocyte apoptosis. Mechanism of action of PDE-3 is presented in </w:t>
      </w:r>
      <w:r w:rsidR="00657DF8" w:rsidRPr="00247439">
        <w:rPr>
          <w:b/>
          <w:bCs/>
        </w:rPr>
        <w:t>Supplementary Fig. 2</w:t>
      </w:r>
      <w:r w:rsidR="00657DF8" w:rsidRPr="00247439">
        <w:rPr>
          <w:bCs/>
        </w:rPr>
        <w:t xml:space="preserve"> (Ref. [2])</w:t>
      </w:r>
      <w:r w:rsidRPr="00247439">
        <w:t xml:space="preserve">. Notably, some laboratory studies suggest that PDE-3 inhibitors </w:t>
      </w:r>
      <w:proofErr w:type="gramStart"/>
      <w:r w:rsidRPr="00247439">
        <w:t>does</w:t>
      </w:r>
      <w:proofErr w:type="gramEnd"/>
      <w:r w:rsidRPr="00247439">
        <w:t xml:space="preserve"> not have direct inotropic activity and their hemodynamic effects are all due to modulation of pre- and afterload</w:t>
      </w:r>
      <w:r w:rsidR="005F4DF0" w:rsidRPr="00247439">
        <w:t xml:space="preserve"> [16]</w:t>
      </w:r>
      <w:r w:rsidRPr="00247439">
        <w:t>.</w:t>
      </w:r>
    </w:p>
    <w:p w14:paraId="5B832B0B" w14:textId="77777777" w:rsidR="00657DF8" w:rsidRPr="00247439" w:rsidRDefault="00657DF8" w:rsidP="00657DF8">
      <w:pPr>
        <w:ind w:firstLineChars="0" w:firstLine="0"/>
        <w:jc w:val="center"/>
        <w:rPr>
          <w:rFonts w:eastAsiaTheme="minorEastAsia"/>
        </w:rPr>
      </w:pPr>
      <w:r w:rsidRPr="00247439">
        <w:rPr>
          <w:noProof/>
        </w:rPr>
        <w:drawing>
          <wp:inline distT="0" distB="0" distL="0" distR="0" wp14:anchorId="4E825135" wp14:editId="48F58B7F">
            <wp:extent cx="6149942" cy="6086103"/>
            <wp:effectExtent l="0" t="0" r="3810" b="0"/>
            <wp:docPr id="26129594" name="Immagine 3" descr="Immagine che contiene testo, schermat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9594" name="Immagine 3" descr="Immagine che contiene testo, schermata, diagram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0" b="6012"/>
                    <a:stretch/>
                  </pic:blipFill>
                  <pic:spPr bwMode="auto">
                    <a:xfrm>
                      <a:off x="0" y="0"/>
                      <a:ext cx="6173039" cy="610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71924" w14:textId="2EA12D43" w:rsidR="00657DF8" w:rsidRPr="00247439" w:rsidRDefault="00657DF8" w:rsidP="00657DF8">
      <w:pPr>
        <w:pStyle w:val="afe"/>
        <w:jc w:val="both"/>
      </w:pPr>
      <w:r w:rsidRPr="00247439">
        <w:rPr>
          <w:b/>
          <w:bCs/>
        </w:rPr>
        <w:t>Supplementary Fig. 2.</w:t>
      </w:r>
      <w:r w:rsidRPr="00247439">
        <w:t xml:space="preserve"> </w:t>
      </w:r>
      <w:r w:rsidRPr="00247439">
        <w:rPr>
          <w:b/>
        </w:rPr>
        <w:t xml:space="preserve">Mechanism of action of PDE-3 inhibitors. </w:t>
      </w:r>
      <w:r w:rsidRPr="00247439">
        <w:t>ATP: adenosine triphosphate; AMP: adenosine monophosphate; cAMP: cyclic adenosine monophosphate</w:t>
      </w:r>
      <w:r w:rsidR="00EE0EA4" w:rsidRPr="00247439">
        <w:t xml:space="preserve">; Gs-GTP: </w:t>
      </w:r>
      <w:r w:rsidR="00146770" w:rsidRPr="00247439">
        <w:t>Guanosine-stimulatory subunit- Guanosine triphosphate</w:t>
      </w:r>
      <w:r w:rsidR="00F77E3D" w:rsidRPr="00247439">
        <w:t>;</w:t>
      </w:r>
      <w:r w:rsidR="00146770" w:rsidRPr="00247439">
        <w:t xml:space="preserve"> </w:t>
      </w:r>
      <w:r w:rsidR="00EE0EA4" w:rsidRPr="00247439">
        <w:t xml:space="preserve">PDE-3: </w:t>
      </w:r>
      <w:r w:rsidR="00C36C74" w:rsidRPr="00247439">
        <w:t>Phosphodiestrerase-3</w:t>
      </w:r>
      <w:r w:rsidRPr="00247439">
        <w:t xml:space="preserve">. Adapted from Overgaard </w:t>
      </w:r>
      <w:r w:rsidRPr="00247439">
        <w:rPr>
          <w:i/>
        </w:rPr>
        <w:t>et al.</w:t>
      </w:r>
      <w:r w:rsidRPr="00247439">
        <w:t xml:space="preserve"> [</w:t>
      </w:r>
      <w:r w:rsidRPr="00247439">
        <w:rPr>
          <w:noProof/>
        </w:rPr>
        <w:t>2].</w:t>
      </w:r>
    </w:p>
    <w:p w14:paraId="5B2C533E" w14:textId="77777777" w:rsidR="00657DF8" w:rsidRPr="00247439" w:rsidRDefault="00657DF8" w:rsidP="00657DF8">
      <w:pPr>
        <w:pStyle w:val="afe"/>
        <w:jc w:val="both"/>
        <w:rPr>
          <w:rFonts w:eastAsiaTheme="minorEastAsia"/>
        </w:rPr>
      </w:pPr>
    </w:p>
    <w:p w14:paraId="31803856" w14:textId="17CFF78C" w:rsidR="002D6D93" w:rsidRPr="00247439" w:rsidRDefault="002D6D93" w:rsidP="00E71982">
      <w:pPr>
        <w:ind w:firstLine="420"/>
      </w:pPr>
      <w:r w:rsidRPr="00247439">
        <w:t>Cardiac glycosides include digoxin and digitoxin. They exert their inotropic effect by inhibiting the Na</w:t>
      </w:r>
      <w:r w:rsidRPr="00247439">
        <w:rPr>
          <w:vertAlign w:val="superscript"/>
        </w:rPr>
        <w:t>+</w:t>
      </w:r>
      <w:r w:rsidRPr="00247439">
        <w:t>/K</w:t>
      </w:r>
      <w:r w:rsidRPr="00247439">
        <w:rPr>
          <w:vertAlign w:val="superscript"/>
        </w:rPr>
        <w:t>+</w:t>
      </w:r>
      <w:r w:rsidRPr="00247439">
        <w:t xml:space="preserve"> </w:t>
      </w:r>
      <w:r w:rsidRPr="00247439">
        <w:lastRenderedPageBreak/>
        <w:t>ATPase, leading to relative increase in Na</w:t>
      </w:r>
      <w:r w:rsidRPr="00247439">
        <w:rPr>
          <w:vertAlign w:val="superscript"/>
        </w:rPr>
        <w:t>+</w:t>
      </w:r>
      <w:r w:rsidRPr="00247439">
        <w:t xml:space="preserve"> concentration in cardiomyocytes cytosol. This, in turn, stimulates the Na</w:t>
      </w:r>
      <w:r w:rsidRPr="00247439">
        <w:rPr>
          <w:vertAlign w:val="superscript"/>
        </w:rPr>
        <w:t>+</w:t>
      </w:r>
      <w:r w:rsidRPr="00247439">
        <w:t>/Ca</w:t>
      </w:r>
      <w:r w:rsidRPr="00247439">
        <w:rPr>
          <w:vertAlign w:val="superscript"/>
        </w:rPr>
        <w:t>++</w:t>
      </w:r>
      <w:r w:rsidRPr="00247439">
        <w:t xml:space="preserve"> exchanger, that will remove Na</w:t>
      </w:r>
      <w:r w:rsidRPr="00247439">
        <w:rPr>
          <w:vertAlign w:val="superscript"/>
        </w:rPr>
        <w:t>+</w:t>
      </w:r>
      <w:r w:rsidRPr="00247439">
        <w:t xml:space="preserve"> and introduce Ca</w:t>
      </w:r>
      <w:r w:rsidRPr="00247439">
        <w:rPr>
          <w:vertAlign w:val="superscript"/>
        </w:rPr>
        <w:t>++</w:t>
      </w:r>
      <w:r w:rsidRPr="00247439">
        <w:t xml:space="preserve"> into the cell, ultimately increasing cytosolic Ca</w:t>
      </w:r>
      <w:r w:rsidRPr="00247439">
        <w:rPr>
          <w:vertAlign w:val="superscript"/>
        </w:rPr>
        <w:t>++</w:t>
      </w:r>
      <w:r w:rsidRPr="00247439">
        <w:t xml:space="preserve"> concentration. Compared with catecholamines and PDE-3 inhibitors, cardiac glycosides have only a modest inotropic effect, have a narrow therapeutic index with a high risk of malignant arrhythmias, and have a very long half-life (more than 24</w:t>
      </w:r>
      <w:r w:rsidR="00E71982" w:rsidRPr="00247439">
        <w:t xml:space="preserve"> </w:t>
      </w:r>
      <w:r w:rsidRPr="00247439">
        <w:t>h). Therefore, their use is limited in the acute care setting. Of note, they are the only inotrope with a negativ</w:t>
      </w:r>
      <w:r w:rsidR="00E71982" w:rsidRPr="00247439">
        <w:t>e chronotropic effect.</w:t>
      </w:r>
    </w:p>
    <w:p w14:paraId="1EFE0460" w14:textId="6CB38C06" w:rsidR="002D6D93" w:rsidRPr="00247439" w:rsidRDefault="002D6D93" w:rsidP="00E71982">
      <w:pPr>
        <w:ind w:firstLine="420"/>
      </w:pPr>
      <w:r w:rsidRPr="00247439">
        <w:t xml:space="preserve">Vasopressin and its derivatives (terlipressin, selepressin) are pure vasoconstrictors with little or no inotropic effect. Vasopressin stimulates </w:t>
      </w:r>
      <w:proofErr w:type="spellStart"/>
      <w:r w:rsidRPr="00247439">
        <w:t>vasopressinergic</w:t>
      </w:r>
      <w:proofErr w:type="spellEnd"/>
      <w:r w:rsidRPr="00247439">
        <w:t xml:space="preserve"> receptor-1 on vascular smooth muscle cells, that ultimately leads to increased cytosolic Ca</w:t>
      </w:r>
      <w:r w:rsidRPr="00247439">
        <w:rPr>
          <w:vertAlign w:val="superscript"/>
        </w:rPr>
        <w:t>++</w:t>
      </w:r>
      <w:r w:rsidRPr="00247439">
        <w:t xml:space="preserve"> concentration and vasoconstriction</w:t>
      </w:r>
      <w:r w:rsidR="00E71982" w:rsidRPr="00247439">
        <w:t xml:space="preserve"> [17, 18]</w:t>
      </w:r>
      <w:r w:rsidRPr="00247439">
        <w:t>. Being a pure vasoconstrictor, vasopressin is generally contraindicated in LCOS as it may dangerously increase LV afterload and further reduce CO</w:t>
      </w:r>
      <w:r w:rsidR="00E71982" w:rsidRPr="00247439">
        <w:t xml:space="preserve"> [19, 20]</w:t>
      </w:r>
      <w:r w:rsidRPr="00247439">
        <w:t>. Its use is generally limited to cases of cardiogenic shock with profound, refractory hypotension, and always in combination with an inotropic agent.</w:t>
      </w:r>
    </w:p>
    <w:p w14:paraId="11FA9525" w14:textId="2FD0696F" w:rsidR="002D6D93" w:rsidRPr="00247439" w:rsidRDefault="002D6D93" w:rsidP="00E71982">
      <w:pPr>
        <w:ind w:firstLine="420"/>
      </w:pPr>
      <w:r w:rsidRPr="00247439">
        <w:t xml:space="preserve">Angiotensin II is an endogenous peptide with the effect of a pure </w:t>
      </w:r>
      <w:r w:rsidR="00E71982" w:rsidRPr="00247439">
        <w:t>vasoconstrictor [21].</w:t>
      </w:r>
      <w:r w:rsidRPr="00247439">
        <w:t xml:space="preserve"> Although it has been known for decades</w:t>
      </w:r>
      <w:r w:rsidR="00E71982" w:rsidRPr="00247439">
        <w:t xml:space="preserve"> [21, 22]</w:t>
      </w:r>
      <w:r w:rsidRPr="00247439">
        <w:t>, only recently has been reintroduced in clinical practice</w:t>
      </w:r>
      <w:r w:rsidR="00E71982" w:rsidRPr="00247439">
        <w:t xml:space="preserve"> [21, 23, 24]</w:t>
      </w:r>
      <w:r w:rsidRPr="00247439">
        <w:t>. Angiotensin II effectively increases MAP and allows to decrease norepinephrine dose in patients with vasodilatory shock</w:t>
      </w:r>
      <w:r w:rsidR="00E71982" w:rsidRPr="00247439">
        <w:t xml:space="preserve"> [24]</w:t>
      </w:r>
      <w:r w:rsidRPr="00247439">
        <w:t>, and may improve survival in patients requiring renal-replacement therapy</w:t>
      </w:r>
      <w:r w:rsidR="00E71982" w:rsidRPr="00247439">
        <w:t xml:space="preserve"> [</w:t>
      </w:r>
      <w:r w:rsidRPr="00247439">
        <w:rPr>
          <w:noProof/>
        </w:rPr>
        <w:t>25</w:t>
      </w:r>
      <w:r w:rsidR="00E71982" w:rsidRPr="00247439">
        <w:rPr>
          <w:noProof/>
        </w:rPr>
        <w:t>]</w:t>
      </w:r>
      <w:r w:rsidRPr="00247439">
        <w:t xml:space="preserve"> or high plasma renin levels</w:t>
      </w:r>
      <w:r w:rsidR="00E71982" w:rsidRPr="00247439">
        <w:t xml:space="preserve"> [26]</w:t>
      </w:r>
      <w:r w:rsidRPr="00247439">
        <w:t>. However, concerns on possible reduction in CO due to afterload increase apply also to angiotensin II. A pilot RCT in cardiac surgery patients suggested feasibility of angiotensin II use as primary vasopressor in cardiac surgery patients</w:t>
      </w:r>
      <w:r w:rsidR="00E71982" w:rsidRPr="00247439">
        <w:t xml:space="preserve"> [27]</w:t>
      </w:r>
      <w:r w:rsidRPr="00247439">
        <w:t>.</w:t>
      </w:r>
    </w:p>
    <w:p w14:paraId="55385DBE" w14:textId="4D7E9C86" w:rsidR="002D6D93" w:rsidRPr="00247439" w:rsidRDefault="002D6D93" w:rsidP="00E71982">
      <w:pPr>
        <w:ind w:firstLine="420"/>
        <w:rPr>
          <w:vertAlign w:val="superscript"/>
        </w:rPr>
      </w:pPr>
      <w:proofErr w:type="spellStart"/>
      <w:r w:rsidRPr="00247439">
        <w:t>Levosimendan</w:t>
      </w:r>
      <w:proofErr w:type="spellEnd"/>
      <w:r w:rsidRPr="00247439">
        <w:t xml:space="preserve"> is an </w:t>
      </w:r>
      <w:proofErr w:type="spellStart"/>
      <w:r w:rsidRPr="00247439">
        <w:t>inodilatory</w:t>
      </w:r>
      <w:proofErr w:type="spellEnd"/>
      <w:r w:rsidRPr="00247439">
        <w:t xml:space="preserve"> agent that belongs to the class of calcium sensitizers. The mechanism of action of levosimendan is complex, and has been subject of several dedicated reviews and expert consensus conferences</w:t>
      </w:r>
      <w:r w:rsidR="00E71982" w:rsidRPr="00247439">
        <w:t xml:space="preserve"> [28, 29]</w:t>
      </w:r>
      <w:r w:rsidRPr="00247439">
        <w:t>.</w:t>
      </w:r>
    </w:p>
    <w:p w14:paraId="6E712FCA" w14:textId="7D4760F9" w:rsidR="002D6D93" w:rsidRPr="00247439" w:rsidRDefault="002D6D93" w:rsidP="00E71982">
      <w:pPr>
        <w:ind w:firstLine="420"/>
      </w:pPr>
      <w:r w:rsidRPr="00247439">
        <w:t>The main mechanism of action of levosimendan is considered calcium sensibilization. Levosimendan binds to cardiac troponin C (</w:t>
      </w:r>
      <w:proofErr w:type="spellStart"/>
      <w:r w:rsidRPr="00247439">
        <w:t>cTnC</w:t>
      </w:r>
      <w:proofErr w:type="spellEnd"/>
      <w:r w:rsidRPr="00247439">
        <w:t xml:space="preserve">) and </w:t>
      </w:r>
      <w:proofErr w:type="spellStart"/>
      <w:r w:rsidRPr="00247439">
        <w:t>and</w:t>
      </w:r>
      <w:proofErr w:type="spellEnd"/>
      <w:r w:rsidRPr="00247439">
        <w:t xml:space="preserve"> stabilizes the binding of Ca</w:t>
      </w:r>
      <w:r w:rsidRPr="00247439">
        <w:rPr>
          <w:vertAlign w:val="superscript"/>
        </w:rPr>
        <w:t xml:space="preserve">++ </w:t>
      </w:r>
      <w:r w:rsidRPr="00247439">
        <w:t xml:space="preserve">and </w:t>
      </w:r>
      <w:proofErr w:type="spellStart"/>
      <w:r w:rsidRPr="00247439">
        <w:t>cTnC</w:t>
      </w:r>
      <w:proofErr w:type="spellEnd"/>
      <w:r w:rsidRPr="00247439">
        <w:t xml:space="preserve">. This stabilization prolongs interaction between </w:t>
      </w:r>
      <w:proofErr w:type="spellStart"/>
      <w:r w:rsidRPr="00247439">
        <w:t>cTnC</w:t>
      </w:r>
      <w:proofErr w:type="spellEnd"/>
      <w:r w:rsidRPr="00247439">
        <w:t xml:space="preserve"> and cardiac troponin I (</w:t>
      </w:r>
      <w:proofErr w:type="spellStart"/>
      <w:r w:rsidRPr="00247439">
        <w:t>cTnI</w:t>
      </w:r>
      <w:proofErr w:type="spellEnd"/>
      <w:r w:rsidRPr="00247439">
        <w:t>), ultimately improving strength of cardiomyocyte contraction but without increasing cytosolic Ca</w:t>
      </w:r>
      <w:r w:rsidRPr="00247439">
        <w:rPr>
          <w:vertAlign w:val="superscript"/>
        </w:rPr>
        <w:t>++</w:t>
      </w:r>
      <w:r w:rsidRPr="00247439">
        <w:t xml:space="preserve"> levels. Therefore, levosimendan has the theoretical advantage of limited increase in myocardial oxygen consumption, as compared with othe</w:t>
      </w:r>
      <w:r w:rsidR="00D009EB" w:rsidRPr="00247439">
        <w:t>r inotropes.</w:t>
      </w:r>
    </w:p>
    <w:p w14:paraId="07435C8F" w14:textId="29EA59B7" w:rsidR="002D6D93" w:rsidRPr="00247439" w:rsidRDefault="002D6D93" w:rsidP="00E71982">
      <w:pPr>
        <w:ind w:firstLine="420"/>
      </w:pPr>
      <w:r w:rsidRPr="00247439">
        <w:t>On vascular smooth muscle cells, opening ATP-sensitive K</w:t>
      </w:r>
      <w:r w:rsidRPr="00247439">
        <w:rPr>
          <w:vertAlign w:val="superscript"/>
        </w:rPr>
        <w:t>+</w:t>
      </w:r>
      <w:r w:rsidRPr="00247439">
        <w:t xml:space="preserve"> channels on cells membrane induce cellular hyperpolarization and therefore muscle relaxation and vasodilation. Furthermore, levosimendan has also some degree of PDE-3 activity, which further enhance</w:t>
      </w:r>
      <w:r w:rsidR="00D009EB" w:rsidRPr="00247439">
        <w:t xml:space="preserve">s its </w:t>
      </w:r>
      <w:proofErr w:type="spellStart"/>
      <w:r w:rsidR="00D009EB" w:rsidRPr="00247439">
        <w:t>inodilatory</w:t>
      </w:r>
      <w:proofErr w:type="spellEnd"/>
      <w:r w:rsidR="00D009EB" w:rsidRPr="00247439">
        <w:t xml:space="preserve"> effect.</w:t>
      </w:r>
    </w:p>
    <w:p w14:paraId="3E429D4F" w14:textId="4437CF0F" w:rsidR="002D6D93" w:rsidRPr="00247439" w:rsidRDefault="002D6D93" w:rsidP="00E71982">
      <w:pPr>
        <w:ind w:firstLine="420"/>
      </w:pPr>
      <w:r w:rsidRPr="00247439">
        <w:t>Levosimendan has actives metabolites with a half-life of 70</w:t>
      </w:r>
      <w:r w:rsidR="00D009EB" w:rsidRPr="00247439">
        <w:t>–</w:t>
      </w:r>
      <w:r w:rsidRPr="00247439">
        <w:t>80 hours, and a clinical effect that persists for days after a 24</w:t>
      </w:r>
      <w:r w:rsidR="00D009EB" w:rsidRPr="00247439">
        <w:t xml:space="preserve"> </w:t>
      </w:r>
      <w:r w:rsidRPr="00247439">
        <w:t>h administration. The major side effects of levosimendan are hypotension and arrhythmias, similarly to P</w:t>
      </w:r>
      <w:r w:rsidR="00D009EB" w:rsidRPr="00247439">
        <w:t>DE-3 inhibitors.</w:t>
      </w:r>
    </w:p>
    <w:p w14:paraId="1C99C4DB" w14:textId="32E88FDA" w:rsidR="002D6D93" w:rsidRPr="00247439" w:rsidRDefault="002D6D93" w:rsidP="00E71982">
      <w:pPr>
        <w:ind w:firstLine="420"/>
      </w:pPr>
      <w:r w:rsidRPr="00247439">
        <w:t xml:space="preserve">Interestingly, the classical view of levosimendan as a calcium sensitizer has been recently challenged by </w:t>
      </w:r>
      <w:proofErr w:type="spellStart"/>
      <w:r w:rsidR="00F1021D" w:rsidRPr="00247439">
        <w:t>Ø</w:t>
      </w:r>
      <w:r w:rsidRPr="00247439">
        <w:t>rstavik</w:t>
      </w:r>
      <w:proofErr w:type="spellEnd"/>
      <w:r w:rsidRPr="00247439">
        <w:t xml:space="preserve"> </w:t>
      </w:r>
      <w:r w:rsidRPr="00247439">
        <w:rPr>
          <w:i/>
        </w:rPr>
        <w:t>et al.</w:t>
      </w:r>
      <w:r w:rsidR="00D009EB" w:rsidRPr="00247439">
        <w:t xml:space="preserve"> [30]</w:t>
      </w:r>
      <w:r w:rsidRPr="00247439">
        <w:t>, that showed that the hemodynamic effect of levosimendan are produced by its PDE-3 inhibitory action, with a negligible effect of calcium sensitizing properties.</w:t>
      </w:r>
    </w:p>
    <w:p w14:paraId="5221C147" w14:textId="08CC65F7" w:rsidR="002D6D93" w:rsidRPr="00247439" w:rsidRDefault="002D6D93" w:rsidP="00E71982">
      <w:pPr>
        <w:ind w:firstLine="420"/>
      </w:pPr>
      <w:r w:rsidRPr="00247439">
        <w:t>Final overview of mechanism</w:t>
      </w:r>
      <w:r w:rsidR="001179F7" w:rsidRPr="00247439">
        <w:t>s</w:t>
      </w:r>
      <w:r w:rsidRPr="00247439">
        <w:t xml:space="preserve"> of action of different inotropic agents is provided in </w:t>
      </w:r>
      <w:r w:rsidR="001179F7" w:rsidRPr="00247439">
        <w:rPr>
          <w:b/>
        </w:rPr>
        <w:t xml:space="preserve">Supplementary </w:t>
      </w:r>
      <w:r w:rsidRPr="00247439">
        <w:rPr>
          <w:b/>
        </w:rPr>
        <w:t>Fig</w:t>
      </w:r>
      <w:r w:rsidR="00D009EB" w:rsidRPr="00247439">
        <w:rPr>
          <w:b/>
        </w:rPr>
        <w:t>.</w:t>
      </w:r>
      <w:r w:rsidRPr="00247439">
        <w:rPr>
          <w:b/>
        </w:rPr>
        <w:t xml:space="preserve"> </w:t>
      </w:r>
      <w:r w:rsidR="001179F7" w:rsidRPr="00247439">
        <w:rPr>
          <w:b/>
        </w:rPr>
        <w:t>3</w:t>
      </w:r>
      <w:r w:rsidR="003334A8" w:rsidRPr="00247439">
        <w:rPr>
          <w:b/>
        </w:rPr>
        <w:t xml:space="preserve"> </w:t>
      </w:r>
      <w:r w:rsidR="003334A8" w:rsidRPr="00247439">
        <w:t>(Ref. [3])</w:t>
      </w:r>
      <w:r w:rsidRPr="00247439">
        <w:t>.</w:t>
      </w:r>
    </w:p>
    <w:p w14:paraId="1F08057D" w14:textId="38830DA9" w:rsidR="00665757" w:rsidRPr="00247439" w:rsidRDefault="003334A8" w:rsidP="003334A8">
      <w:pPr>
        <w:ind w:firstLineChars="0" w:firstLine="0"/>
        <w:jc w:val="center"/>
      </w:pPr>
      <w:r w:rsidRPr="00247439">
        <w:rPr>
          <w:noProof/>
        </w:rPr>
        <w:lastRenderedPageBreak/>
        <w:drawing>
          <wp:inline distT="0" distB="0" distL="0" distR="0" wp14:anchorId="16AFE50A" wp14:editId="436B079C">
            <wp:extent cx="6119276" cy="3924226"/>
            <wp:effectExtent l="0" t="0" r="0" b="635"/>
            <wp:docPr id="2021105297" name="Immagine 4" descr="Immagine che contiene testo, diagramma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05297" name="Immagine 4" descr="Immagine che contiene testo, diagramma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" b="4789"/>
                    <a:stretch/>
                  </pic:blipFill>
                  <pic:spPr bwMode="auto">
                    <a:xfrm>
                      <a:off x="0" y="0"/>
                      <a:ext cx="6120130" cy="392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C7D6C" w14:textId="107266A9" w:rsidR="002D6D93" w:rsidRPr="00247439" w:rsidRDefault="002D6D93" w:rsidP="003334A8">
      <w:pPr>
        <w:pStyle w:val="afe"/>
        <w:jc w:val="both"/>
      </w:pPr>
      <w:r w:rsidRPr="00247439">
        <w:rPr>
          <w:b/>
          <w:bCs/>
        </w:rPr>
        <w:t>Supplementary Fig</w:t>
      </w:r>
      <w:r w:rsidR="003334A8" w:rsidRPr="00247439">
        <w:rPr>
          <w:b/>
          <w:bCs/>
        </w:rPr>
        <w:t>.</w:t>
      </w:r>
      <w:r w:rsidRPr="00247439">
        <w:rPr>
          <w:b/>
          <w:bCs/>
        </w:rPr>
        <w:t xml:space="preserve"> 3.</w:t>
      </w:r>
      <w:r w:rsidRPr="00247439">
        <w:t xml:space="preserve"> </w:t>
      </w:r>
      <w:r w:rsidRPr="00247439">
        <w:rPr>
          <w:b/>
        </w:rPr>
        <w:t xml:space="preserve">Summary of mechanisms of action on cardiac myocytes of different inotropes. </w:t>
      </w:r>
      <w:r w:rsidRPr="00247439">
        <w:t>AC</w:t>
      </w:r>
      <w:r w:rsidR="003334A8" w:rsidRPr="00247439">
        <w:t>:</w:t>
      </w:r>
      <w:r w:rsidRPr="00247439">
        <w:t xml:space="preserve"> adenylate cyclase; ATP</w:t>
      </w:r>
      <w:r w:rsidR="003334A8" w:rsidRPr="00247439">
        <w:t>:</w:t>
      </w:r>
      <w:r w:rsidRPr="00247439">
        <w:t xml:space="preserve"> adenosine triphosphate; cAMP</w:t>
      </w:r>
      <w:r w:rsidR="003334A8" w:rsidRPr="00247439">
        <w:t xml:space="preserve">: </w:t>
      </w:r>
      <w:r w:rsidRPr="00247439">
        <w:t>cyclic adenosine monophosphate; G1</w:t>
      </w:r>
      <w:r w:rsidR="003334A8" w:rsidRPr="00247439">
        <w:t>:</w:t>
      </w:r>
      <w:r w:rsidRPr="00247439">
        <w:t xml:space="preserve"> stimulating G protein; G2</w:t>
      </w:r>
      <w:r w:rsidR="003334A8" w:rsidRPr="00247439">
        <w:t>:</w:t>
      </w:r>
      <w:r w:rsidRPr="00247439">
        <w:t xml:space="preserve"> inhibitory G protein; PKA</w:t>
      </w:r>
      <w:r w:rsidR="003334A8" w:rsidRPr="00247439">
        <w:t>:</w:t>
      </w:r>
      <w:r w:rsidRPr="00247439">
        <w:t xml:space="preserve"> protein kinase A; SERCA</w:t>
      </w:r>
      <w:r w:rsidR="003334A8" w:rsidRPr="00247439">
        <w:t>:</w:t>
      </w:r>
      <w:r w:rsidRPr="00247439">
        <w:t xml:space="preserve"> sarcoplasmic reticulum calcium pump. Adapted from Fellahi </w:t>
      </w:r>
      <w:r w:rsidRPr="00247439">
        <w:rPr>
          <w:i/>
        </w:rPr>
        <w:t>et al.</w:t>
      </w:r>
      <w:r w:rsidR="003334A8" w:rsidRPr="00247439">
        <w:rPr>
          <w:i/>
        </w:rPr>
        <w:t xml:space="preserve"> </w:t>
      </w:r>
      <w:r w:rsidR="003334A8" w:rsidRPr="00247439">
        <w:t>[</w:t>
      </w:r>
      <w:r w:rsidRPr="00247439">
        <w:rPr>
          <w:noProof/>
        </w:rPr>
        <w:t>3</w:t>
      </w:r>
      <w:r w:rsidR="003334A8" w:rsidRPr="00247439">
        <w:rPr>
          <w:noProof/>
        </w:rPr>
        <w:t>].</w:t>
      </w:r>
    </w:p>
    <w:p w14:paraId="79426BF7" w14:textId="546509FC" w:rsidR="002D6D93" w:rsidRPr="00247439" w:rsidRDefault="002D6D93" w:rsidP="003334A8">
      <w:pPr>
        <w:pStyle w:val="afe"/>
        <w:jc w:val="both"/>
        <w:rPr>
          <w:rFonts w:eastAsiaTheme="minorEastAsia"/>
        </w:rPr>
      </w:pPr>
    </w:p>
    <w:p w14:paraId="4AB36E13" w14:textId="708AF7FB" w:rsidR="002D6D93" w:rsidRPr="00247439" w:rsidRDefault="00C74094" w:rsidP="00C74094">
      <w:pPr>
        <w:pStyle w:val="aff8"/>
      </w:pPr>
      <w:r w:rsidRPr="00247439">
        <w:t>References</w:t>
      </w:r>
    </w:p>
    <w:p w14:paraId="78D29DD8" w14:textId="3CFE3859" w:rsidR="00F1021D" w:rsidRPr="00247439" w:rsidRDefault="00F1021D" w:rsidP="00F1021D">
      <w:pPr>
        <w:pStyle w:val="af5"/>
      </w:pPr>
      <w:r w:rsidRPr="00247439">
        <w:t xml:space="preserve">[1] Bangash MN, Kong ML, Pearse RM. Use of inotropes and vasopressor agents in critically ill patients. </w:t>
      </w:r>
      <w:r w:rsidR="00732BC7" w:rsidRPr="00247439">
        <w:t>British Journal of Pharmacology</w:t>
      </w:r>
      <w:r w:rsidRPr="00247439">
        <w:t>. 2012;</w:t>
      </w:r>
      <w:r w:rsidR="00732BC7" w:rsidRPr="00247439">
        <w:t xml:space="preserve"> </w:t>
      </w:r>
      <w:r w:rsidRPr="00247439">
        <w:t>165:</w:t>
      </w:r>
      <w:r w:rsidR="00732BC7" w:rsidRPr="00247439">
        <w:t xml:space="preserve"> </w:t>
      </w:r>
      <w:r w:rsidRPr="00247439">
        <w:t>2015</w:t>
      </w:r>
      <w:r w:rsidR="00732BC7" w:rsidRPr="00247439">
        <w:t>–</w:t>
      </w:r>
      <w:r w:rsidRPr="00247439">
        <w:t>2033.</w:t>
      </w:r>
    </w:p>
    <w:p w14:paraId="42FE56F6" w14:textId="64F8540C" w:rsidR="00F1021D" w:rsidRPr="00247439" w:rsidRDefault="00F1021D" w:rsidP="00F1021D">
      <w:pPr>
        <w:pStyle w:val="af5"/>
      </w:pPr>
      <w:r w:rsidRPr="00247439">
        <w:t xml:space="preserve">[2] Overgaard CB, </w:t>
      </w:r>
      <w:proofErr w:type="spellStart"/>
      <w:r w:rsidRPr="00247439">
        <w:t>Dzavík</w:t>
      </w:r>
      <w:proofErr w:type="spellEnd"/>
      <w:r w:rsidRPr="00247439">
        <w:t xml:space="preserve"> V. Inotr</w:t>
      </w:r>
      <w:r w:rsidR="00732BC7" w:rsidRPr="00247439">
        <w:t>opes and vasopressors: review of physiology and clinical use in cardiovascular dise</w:t>
      </w:r>
      <w:r w:rsidRPr="00247439">
        <w:t>ase. Circulation. 2008;</w:t>
      </w:r>
      <w:r w:rsidR="00732BC7" w:rsidRPr="00247439">
        <w:t xml:space="preserve"> </w:t>
      </w:r>
      <w:r w:rsidRPr="00247439">
        <w:t>118:</w:t>
      </w:r>
      <w:r w:rsidR="00732BC7" w:rsidRPr="00247439">
        <w:t xml:space="preserve"> </w:t>
      </w:r>
      <w:r w:rsidRPr="00247439">
        <w:t>1047</w:t>
      </w:r>
      <w:r w:rsidR="00732BC7" w:rsidRPr="00247439">
        <w:t>–</w:t>
      </w:r>
      <w:r w:rsidRPr="00247439">
        <w:t>1056.</w:t>
      </w:r>
    </w:p>
    <w:p w14:paraId="325AFFFF" w14:textId="7DBF837C" w:rsidR="00F1021D" w:rsidRPr="00247439" w:rsidRDefault="00F1021D" w:rsidP="00F1021D">
      <w:pPr>
        <w:pStyle w:val="af5"/>
      </w:pPr>
      <w:r w:rsidRPr="00247439">
        <w:t xml:space="preserve">[3] </w:t>
      </w:r>
      <w:proofErr w:type="spellStart"/>
      <w:r w:rsidRPr="00247439">
        <w:t>Fellahi</w:t>
      </w:r>
      <w:proofErr w:type="spellEnd"/>
      <w:r w:rsidRPr="00247439">
        <w:t xml:space="preserve"> JL, Fischer MO, </w:t>
      </w:r>
      <w:proofErr w:type="spellStart"/>
      <w:r w:rsidRPr="00247439">
        <w:t>Daccache</w:t>
      </w:r>
      <w:proofErr w:type="spellEnd"/>
      <w:r w:rsidRPr="00247439">
        <w:t xml:space="preserve"> G, Gerard JL, </w:t>
      </w:r>
      <w:proofErr w:type="spellStart"/>
      <w:r w:rsidRPr="00247439">
        <w:t>Hanouz</w:t>
      </w:r>
      <w:proofErr w:type="spellEnd"/>
      <w:r w:rsidRPr="00247439">
        <w:t xml:space="preserve"> JL. Positive inotropic agents in myocardial ischemia-reperfusion injury: a benefit/risk analysis. Anesthesiology. 2013;</w:t>
      </w:r>
      <w:r w:rsidR="00732BC7" w:rsidRPr="00247439">
        <w:t xml:space="preserve"> </w:t>
      </w:r>
      <w:r w:rsidRPr="00247439">
        <w:t>118:</w:t>
      </w:r>
      <w:r w:rsidR="00732BC7" w:rsidRPr="00247439">
        <w:t xml:space="preserve"> </w:t>
      </w:r>
      <w:r w:rsidRPr="00247439">
        <w:t>1460</w:t>
      </w:r>
      <w:r w:rsidR="00732BC7" w:rsidRPr="00247439">
        <w:t>–</w:t>
      </w:r>
      <w:r w:rsidRPr="00247439">
        <w:t>1465.</w:t>
      </w:r>
    </w:p>
    <w:p w14:paraId="681BB14D" w14:textId="6184D1C2" w:rsidR="00F1021D" w:rsidRPr="00247439" w:rsidRDefault="00F1021D" w:rsidP="00F1021D">
      <w:pPr>
        <w:pStyle w:val="af5"/>
      </w:pPr>
      <w:r w:rsidRPr="00247439">
        <w:t xml:space="preserve">[4] </w:t>
      </w:r>
      <w:proofErr w:type="spellStart"/>
      <w:r w:rsidRPr="00247439">
        <w:t>Jentzer</w:t>
      </w:r>
      <w:proofErr w:type="spellEnd"/>
      <w:r w:rsidRPr="00247439">
        <w:t xml:space="preserve"> JC, Coons JC, Link CB, </w:t>
      </w:r>
      <w:proofErr w:type="spellStart"/>
      <w:r w:rsidRPr="00247439">
        <w:t>Schmidhofer</w:t>
      </w:r>
      <w:proofErr w:type="spellEnd"/>
      <w:r w:rsidRPr="00247439">
        <w:t xml:space="preserve"> M. Pharmaco</w:t>
      </w:r>
      <w:r w:rsidR="00732BC7" w:rsidRPr="00247439">
        <w:t>therapy update on the use of vasopressors and inotropes in the intensive care uni</w:t>
      </w:r>
      <w:r w:rsidRPr="00247439">
        <w:t xml:space="preserve">t. </w:t>
      </w:r>
      <w:r w:rsidR="00732BC7" w:rsidRPr="00247439">
        <w:t>Journal of Cardiovascular Pharmacology and Therapeutics</w:t>
      </w:r>
      <w:r w:rsidRPr="00247439">
        <w:t>. 2015;</w:t>
      </w:r>
      <w:r w:rsidR="00732BC7" w:rsidRPr="00247439">
        <w:t xml:space="preserve"> </w:t>
      </w:r>
      <w:r w:rsidRPr="00247439">
        <w:t>20:</w:t>
      </w:r>
      <w:r w:rsidR="00732BC7" w:rsidRPr="00247439">
        <w:t xml:space="preserve"> </w:t>
      </w:r>
      <w:r w:rsidRPr="00247439">
        <w:t>249</w:t>
      </w:r>
      <w:r w:rsidR="00732BC7" w:rsidRPr="00247439">
        <w:t>–</w:t>
      </w:r>
      <w:r w:rsidRPr="00247439">
        <w:t>260.</w:t>
      </w:r>
    </w:p>
    <w:p w14:paraId="096DC4BF" w14:textId="634AD3E3" w:rsidR="00F1021D" w:rsidRPr="00247439" w:rsidRDefault="00F1021D" w:rsidP="00F1021D">
      <w:pPr>
        <w:pStyle w:val="af5"/>
      </w:pPr>
      <w:r w:rsidRPr="00247439">
        <w:t xml:space="preserve">[5] Singh K, Xiao L, </w:t>
      </w:r>
      <w:proofErr w:type="spellStart"/>
      <w:r w:rsidRPr="00247439">
        <w:t>Remondino</w:t>
      </w:r>
      <w:proofErr w:type="spellEnd"/>
      <w:r w:rsidRPr="00247439">
        <w:t xml:space="preserve"> A, Sawyer DB, Colucci WS. Adrenergic regulation of cardiac myocyte apoptosis. </w:t>
      </w:r>
      <w:r w:rsidR="00732BC7" w:rsidRPr="00247439">
        <w:t>Journal of Cellular Physiology</w:t>
      </w:r>
      <w:r w:rsidRPr="00247439">
        <w:t>. 2001;</w:t>
      </w:r>
      <w:r w:rsidR="00732BC7" w:rsidRPr="00247439">
        <w:t xml:space="preserve"> </w:t>
      </w:r>
      <w:r w:rsidRPr="00247439">
        <w:t>189:</w:t>
      </w:r>
      <w:r w:rsidR="00732BC7" w:rsidRPr="00247439">
        <w:t xml:space="preserve"> </w:t>
      </w:r>
      <w:r w:rsidRPr="00247439">
        <w:t>257</w:t>
      </w:r>
      <w:r w:rsidR="00732BC7" w:rsidRPr="00247439">
        <w:t>–</w:t>
      </w:r>
      <w:r w:rsidRPr="00247439">
        <w:t>265.</w:t>
      </w:r>
    </w:p>
    <w:p w14:paraId="53218AD5" w14:textId="03C49B47" w:rsidR="00F1021D" w:rsidRPr="00247439" w:rsidRDefault="00F1021D" w:rsidP="00F1021D">
      <w:pPr>
        <w:pStyle w:val="af5"/>
      </w:pPr>
      <w:r w:rsidRPr="00247439">
        <w:t xml:space="preserve">[6] Andreis DT, Singer M. Catecholamines for inflammatory shock: a Jekyll-and-Hyde conundrum. </w:t>
      </w:r>
      <w:r w:rsidR="00732BC7" w:rsidRPr="00247439">
        <w:t>Intensive Care Medicine</w:t>
      </w:r>
      <w:r w:rsidRPr="00247439">
        <w:t>. 2016;</w:t>
      </w:r>
      <w:r w:rsidR="00732BC7" w:rsidRPr="00247439">
        <w:t xml:space="preserve"> </w:t>
      </w:r>
      <w:r w:rsidRPr="00247439">
        <w:t>42:</w:t>
      </w:r>
      <w:r w:rsidR="00732BC7" w:rsidRPr="00247439">
        <w:t xml:space="preserve"> </w:t>
      </w:r>
      <w:r w:rsidRPr="00247439">
        <w:t>1387</w:t>
      </w:r>
      <w:r w:rsidR="00732BC7" w:rsidRPr="00247439">
        <w:t>–</w:t>
      </w:r>
      <w:r w:rsidRPr="00247439">
        <w:t>1397.</w:t>
      </w:r>
    </w:p>
    <w:p w14:paraId="48D7F71A" w14:textId="69F5DF31" w:rsidR="00F1021D" w:rsidRPr="00247439" w:rsidRDefault="00F1021D" w:rsidP="00F1021D">
      <w:pPr>
        <w:pStyle w:val="af5"/>
      </w:pPr>
      <w:r w:rsidRPr="00247439">
        <w:t xml:space="preserve">[7] </w:t>
      </w:r>
      <w:proofErr w:type="spellStart"/>
      <w:r w:rsidRPr="00247439">
        <w:t>Dünser</w:t>
      </w:r>
      <w:proofErr w:type="spellEnd"/>
      <w:r w:rsidRPr="00247439">
        <w:t xml:space="preserve"> MW, </w:t>
      </w:r>
      <w:proofErr w:type="spellStart"/>
      <w:r w:rsidRPr="00247439">
        <w:t>Hasibeder</w:t>
      </w:r>
      <w:proofErr w:type="spellEnd"/>
      <w:r w:rsidRPr="00247439">
        <w:t xml:space="preserve"> WR. Sympathetic overstimulation during critical illness: </w:t>
      </w:r>
      <w:r w:rsidR="00732BC7" w:rsidRPr="00247439">
        <w:t>a</w:t>
      </w:r>
      <w:r w:rsidRPr="00247439">
        <w:t xml:space="preserve">dverse effects of adrenergic stress. </w:t>
      </w:r>
      <w:r w:rsidR="00732BC7" w:rsidRPr="00247439">
        <w:t>Journal of Intensive Care Medicine</w:t>
      </w:r>
      <w:r w:rsidRPr="00247439">
        <w:t>. 2009;</w:t>
      </w:r>
      <w:r w:rsidR="00732BC7" w:rsidRPr="00247439">
        <w:t xml:space="preserve"> </w:t>
      </w:r>
      <w:r w:rsidRPr="00247439">
        <w:t>24:</w:t>
      </w:r>
      <w:r w:rsidR="00732BC7" w:rsidRPr="00247439">
        <w:t xml:space="preserve"> </w:t>
      </w:r>
      <w:r w:rsidRPr="00247439">
        <w:t>293</w:t>
      </w:r>
      <w:r w:rsidR="00732BC7" w:rsidRPr="00247439">
        <w:t>–</w:t>
      </w:r>
      <w:r w:rsidRPr="00247439">
        <w:t>316.</w:t>
      </w:r>
    </w:p>
    <w:p w14:paraId="202F859A" w14:textId="7F908CF2" w:rsidR="00F1021D" w:rsidRPr="00247439" w:rsidRDefault="00F1021D" w:rsidP="00F1021D">
      <w:pPr>
        <w:pStyle w:val="af5"/>
      </w:pPr>
      <w:r w:rsidRPr="00247439">
        <w:t xml:space="preserve">[8] </w:t>
      </w:r>
      <w:proofErr w:type="spellStart"/>
      <w:r w:rsidRPr="00247439">
        <w:t>Bellett</w:t>
      </w:r>
      <w:r w:rsidR="00732BC7" w:rsidRPr="00247439">
        <w:t>i</w:t>
      </w:r>
      <w:proofErr w:type="spellEnd"/>
      <w:r w:rsidR="00732BC7" w:rsidRPr="00247439">
        <w:t xml:space="preserve"> A, </w:t>
      </w:r>
      <w:proofErr w:type="spellStart"/>
      <w:r w:rsidR="00732BC7" w:rsidRPr="00247439">
        <w:t>Landoni</w:t>
      </w:r>
      <w:proofErr w:type="spellEnd"/>
      <w:r w:rsidR="00732BC7" w:rsidRPr="00247439">
        <w:t xml:space="preserve"> G, </w:t>
      </w:r>
      <w:proofErr w:type="spellStart"/>
      <w:r w:rsidR="00732BC7" w:rsidRPr="00247439">
        <w:t>Lomivorotov</w:t>
      </w:r>
      <w:proofErr w:type="spellEnd"/>
      <w:r w:rsidR="00732BC7" w:rsidRPr="00247439">
        <w:t xml:space="preserve"> VV</w:t>
      </w:r>
      <w:r w:rsidRPr="00247439">
        <w:t xml:space="preserve">, </w:t>
      </w:r>
      <w:proofErr w:type="spellStart"/>
      <w:r w:rsidRPr="00247439">
        <w:t>Oriani</w:t>
      </w:r>
      <w:proofErr w:type="spellEnd"/>
      <w:r w:rsidRPr="00247439">
        <w:t xml:space="preserve"> A, </w:t>
      </w:r>
      <w:proofErr w:type="spellStart"/>
      <w:r w:rsidRPr="00247439">
        <w:t>Ajello</w:t>
      </w:r>
      <w:proofErr w:type="spellEnd"/>
      <w:r w:rsidRPr="00247439">
        <w:t xml:space="preserve"> S. Adrene</w:t>
      </w:r>
      <w:r w:rsidR="00732BC7" w:rsidRPr="00247439">
        <w:t>rgic downregulation in critical care: molecular mechanisms and therapeutic evidence</w:t>
      </w:r>
      <w:r w:rsidRPr="00247439">
        <w:t xml:space="preserve">. </w:t>
      </w:r>
      <w:r w:rsidR="00732BC7" w:rsidRPr="00247439">
        <w:t>Journal of Cardiothoracic and Vascular Anesthesia</w:t>
      </w:r>
      <w:r w:rsidRPr="00247439">
        <w:t>. 2020;</w:t>
      </w:r>
      <w:r w:rsidR="00732BC7" w:rsidRPr="00247439">
        <w:t xml:space="preserve"> </w:t>
      </w:r>
      <w:r w:rsidRPr="00247439">
        <w:t>34:</w:t>
      </w:r>
      <w:r w:rsidR="00732BC7" w:rsidRPr="00247439">
        <w:t xml:space="preserve"> </w:t>
      </w:r>
      <w:r w:rsidRPr="00247439">
        <w:t>1023</w:t>
      </w:r>
      <w:r w:rsidR="00732BC7" w:rsidRPr="00247439">
        <w:t>–1041.</w:t>
      </w:r>
    </w:p>
    <w:p w14:paraId="5A2520A9" w14:textId="41349329" w:rsidR="00F1021D" w:rsidRPr="00247439" w:rsidRDefault="00F1021D" w:rsidP="00F1021D">
      <w:pPr>
        <w:pStyle w:val="af5"/>
        <w:rPr>
          <w:lang w:val="it-IT"/>
        </w:rPr>
      </w:pPr>
      <w:r w:rsidRPr="00247439">
        <w:t xml:space="preserve">[9] Evans L, Rhodes A, </w:t>
      </w:r>
      <w:proofErr w:type="spellStart"/>
      <w:r w:rsidRPr="00247439">
        <w:t>Alhazzani</w:t>
      </w:r>
      <w:proofErr w:type="spellEnd"/>
      <w:r w:rsidRPr="00247439">
        <w:t xml:space="preserve"> W, </w:t>
      </w:r>
      <w:r w:rsidR="00732BC7" w:rsidRPr="00247439">
        <w:t xml:space="preserve">Antonelli M, Coopersmith CM, French C, </w:t>
      </w:r>
      <w:r w:rsidRPr="00247439">
        <w:rPr>
          <w:i/>
        </w:rPr>
        <w:t>et al.</w:t>
      </w:r>
      <w:r w:rsidRPr="00247439">
        <w:t xml:space="preserve"> Survivi</w:t>
      </w:r>
      <w:r w:rsidR="00732BC7" w:rsidRPr="00247439">
        <w:t xml:space="preserve">ng sepsis campaign: international guidelines for management of sepsis and septic shock </w:t>
      </w:r>
      <w:r w:rsidRPr="00247439">
        <w:t xml:space="preserve">2021. </w:t>
      </w:r>
      <w:r w:rsidR="00732BC7" w:rsidRPr="00247439">
        <w:rPr>
          <w:lang w:val="it-IT"/>
        </w:rPr>
        <w:t>Critical Care Medicine</w:t>
      </w:r>
      <w:r w:rsidRPr="00247439">
        <w:rPr>
          <w:lang w:val="it-IT"/>
        </w:rPr>
        <w:t>. 2021;</w:t>
      </w:r>
      <w:r w:rsidR="00732BC7" w:rsidRPr="00247439">
        <w:rPr>
          <w:lang w:val="it-IT"/>
        </w:rPr>
        <w:t xml:space="preserve"> </w:t>
      </w:r>
      <w:r w:rsidRPr="00247439">
        <w:rPr>
          <w:lang w:val="it-IT"/>
        </w:rPr>
        <w:t>49:</w:t>
      </w:r>
      <w:r w:rsidR="00732BC7" w:rsidRPr="00247439">
        <w:rPr>
          <w:lang w:val="it-IT"/>
        </w:rPr>
        <w:t xml:space="preserve"> </w:t>
      </w:r>
      <w:r w:rsidRPr="00247439">
        <w:rPr>
          <w:lang w:val="it-IT"/>
        </w:rPr>
        <w:t>e1063</w:t>
      </w:r>
      <w:r w:rsidR="00732BC7" w:rsidRPr="00247439">
        <w:rPr>
          <w:lang w:val="it-IT"/>
        </w:rPr>
        <w:t>–e1143.</w:t>
      </w:r>
    </w:p>
    <w:p w14:paraId="5D62EAAE" w14:textId="6658356E" w:rsidR="00F1021D" w:rsidRPr="00247439" w:rsidRDefault="00F1021D" w:rsidP="00F1021D">
      <w:pPr>
        <w:pStyle w:val="af5"/>
      </w:pPr>
      <w:r w:rsidRPr="00247439">
        <w:rPr>
          <w:lang w:val="it-IT"/>
        </w:rPr>
        <w:t xml:space="preserve">[10] Mebazaa A, Tolppanen H, Mueller C, </w:t>
      </w:r>
      <w:r w:rsidR="00732BC7" w:rsidRPr="00247439">
        <w:rPr>
          <w:lang w:val="it-IT"/>
        </w:rPr>
        <w:t xml:space="preserve">Lassus J, DiSomma S, Baksyte G, </w:t>
      </w:r>
      <w:r w:rsidRPr="00247439">
        <w:rPr>
          <w:i/>
          <w:lang w:val="it-IT"/>
        </w:rPr>
        <w:t>et al.</w:t>
      </w:r>
      <w:r w:rsidRPr="00247439">
        <w:rPr>
          <w:lang w:val="it-IT"/>
        </w:rPr>
        <w:t xml:space="preserve"> </w:t>
      </w:r>
      <w:r w:rsidRPr="00247439">
        <w:t xml:space="preserve">Acute heart failure and cardiogenic shock: a multidisciplinary practical guidance. </w:t>
      </w:r>
      <w:r w:rsidR="00732BC7" w:rsidRPr="00247439">
        <w:t>Intensive Care Medicine</w:t>
      </w:r>
      <w:r w:rsidRPr="00247439">
        <w:t>. 2016;</w:t>
      </w:r>
      <w:r w:rsidR="00732BC7" w:rsidRPr="00247439">
        <w:t xml:space="preserve"> </w:t>
      </w:r>
      <w:r w:rsidRPr="00247439">
        <w:t>42:</w:t>
      </w:r>
      <w:r w:rsidR="00732BC7" w:rsidRPr="00247439">
        <w:t xml:space="preserve"> </w:t>
      </w:r>
      <w:r w:rsidRPr="00247439">
        <w:t>147</w:t>
      </w:r>
      <w:r w:rsidR="00732BC7" w:rsidRPr="00247439">
        <w:t>–</w:t>
      </w:r>
      <w:r w:rsidRPr="00247439">
        <w:t>163.</w:t>
      </w:r>
    </w:p>
    <w:p w14:paraId="36D1F5A5" w14:textId="21BD5115" w:rsidR="00F1021D" w:rsidRPr="00247439" w:rsidRDefault="00F1021D" w:rsidP="00F1021D">
      <w:pPr>
        <w:pStyle w:val="af5"/>
      </w:pPr>
      <w:r w:rsidRPr="00247439">
        <w:t xml:space="preserve">[11] Van Diepen S, Katz JN, Albert NM, </w:t>
      </w:r>
      <w:r w:rsidR="00732BC7" w:rsidRPr="00247439">
        <w:t xml:space="preserve">Henry TD, Jacobs AK, Kapur NK, </w:t>
      </w:r>
      <w:r w:rsidRPr="00247439">
        <w:rPr>
          <w:i/>
        </w:rPr>
        <w:t>et al</w:t>
      </w:r>
      <w:r w:rsidRPr="00247439">
        <w:t>. Contem</w:t>
      </w:r>
      <w:r w:rsidR="00732BC7" w:rsidRPr="00247439">
        <w:t>porary management of cardiogenic shock: a scientific statement from t</w:t>
      </w:r>
      <w:r w:rsidRPr="00247439">
        <w:t>he American Heart Association. Circulation. 2017;</w:t>
      </w:r>
      <w:r w:rsidR="00732BC7" w:rsidRPr="00247439">
        <w:t xml:space="preserve"> </w:t>
      </w:r>
      <w:r w:rsidRPr="00247439">
        <w:t>136:</w:t>
      </w:r>
      <w:r w:rsidR="00732BC7" w:rsidRPr="00247439">
        <w:t xml:space="preserve"> </w:t>
      </w:r>
      <w:r w:rsidRPr="00247439">
        <w:t>e232</w:t>
      </w:r>
      <w:r w:rsidR="00732BC7" w:rsidRPr="00247439">
        <w:t>–e268.</w:t>
      </w:r>
    </w:p>
    <w:p w14:paraId="2FC98C04" w14:textId="07923A08" w:rsidR="00F1021D" w:rsidRPr="00247439" w:rsidRDefault="00F1021D" w:rsidP="00F1021D">
      <w:pPr>
        <w:pStyle w:val="af5"/>
      </w:pPr>
      <w:r w:rsidRPr="00247439">
        <w:lastRenderedPageBreak/>
        <w:t xml:space="preserve">[12] </w:t>
      </w:r>
      <w:proofErr w:type="spellStart"/>
      <w:r w:rsidRPr="00247439">
        <w:t>Mebazaa</w:t>
      </w:r>
      <w:proofErr w:type="spellEnd"/>
      <w:r w:rsidRPr="00247439">
        <w:t xml:space="preserve"> A, Combes A, van Diepen S, </w:t>
      </w:r>
      <w:r w:rsidR="00E27AEA" w:rsidRPr="00247439">
        <w:t xml:space="preserve">Hollinger A, Katz JN, Landoni G, </w:t>
      </w:r>
      <w:r w:rsidRPr="00247439">
        <w:rPr>
          <w:i/>
        </w:rPr>
        <w:t>et al</w:t>
      </w:r>
      <w:r w:rsidRPr="00247439">
        <w:t xml:space="preserve">. Management of cardiogenic shock complicating myocardial infarction. </w:t>
      </w:r>
      <w:r w:rsidR="00E27AEA" w:rsidRPr="00247439">
        <w:t>Intensive Care Medicine</w:t>
      </w:r>
      <w:r w:rsidRPr="00247439">
        <w:t>. 2018;</w:t>
      </w:r>
      <w:r w:rsidR="00E27AEA" w:rsidRPr="00247439">
        <w:t xml:space="preserve"> </w:t>
      </w:r>
      <w:r w:rsidRPr="00247439">
        <w:t>44:</w:t>
      </w:r>
      <w:r w:rsidR="00E27AEA" w:rsidRPr="00247439">
        <w:t xml:space="preserve"> </w:t>
      </w:r>
      <w:r w:rsidRPr="00247439">
        <w:t>760</w:t>
      </w:r>
      <w:r w:rsidR="00E27AEA" w:rsidRPr="00247439">
        <w:t>–</w:t>
      </w:r>
      <w:r w:rsidRPr="00247439">
        <w:t>773.</w:t>
      </w:r>
    </w:p>
    <w:p w14:paraId="620D3D75" w14:textId="490E7B37" w:rsidR="00F1021D" w:rsidRPr="00247439" w:rsidRDefault="00F1021D" w:rsidP="00F1021D">
      <w:pPr>
        <w:pStyle w:val="af5"/>
      </w:pPr>
      <w:r w:rsidRPr="00247439">
        <w:t xml:space="preserve">[13] </w:t>
      </w:r>
      <w:proofErr w:type="spellStart"/>
      <w:r w:rsidRPr="00247439">
        <w:t>Chioncel</w:t>
      </w:r>
      <w:proofErr w:type="spellEnd"/>
      <w:r w:rsidRPr="00247439">
        <w:t xml:space="preserve"> O, </w:t>
      </w:r>
      <w:proofErr w:type="spellStart"/>
      <w:r w:rsidRPr="00247439">
        <w:t>Parissis</w:t>
      </w:r>
      <w:proofErr w:type="spellEnd"/>
      <w:r w:rsidRPr="00247439">
        <w:t xml:space="preserve"> J, </w:t>
      </w:r>
      <w:proofErr w:type="spellStart"/>
      <w:r w:rsidRPr="00247439">
        <w:t>Mebazaa</w:t>
      </w:r>
      <w:proofErr w:type="spellEnd"/>
      <w:r w:rsidRPr="00247439">
        <w:t xml:space="preserve"> A, </w:t>
      </w:r>
      <w:r w:rsidR="00E27AEA" w:rsidRPr="00247439">
        <w:t xml:space="preserve">Thiele H, Desch S, Bauersachs J, </w:t>
      </w:r>
      <w:r w:rsidRPr="00247439">
        <w:rPr>
          <w:i/>
        </w:rPr>
        <w:t>et al.</w:t>
      </w:r>
      <w:r w:rsidRPr="00247439">
        <w:t xml:space="preserve"> Epidemiology, pathophysiology and contemporary management of cardiogenic shock</w:t>
      </w:r>
      <w:r w:rsidR="00E27AEA" w:rsidRPr="00247439">
        <w:t>—</w:t>
      </w:r>
      <w:r w:rsidRPr="00247439">
        <w:t xml:space="preserve">a position statement from the Heart Failure Association of the European Society of Cardiology. </w:t>
      </w:r>
      <w:r w:rsidR="00E27AEA" w:rsidRPr="00247439">
        <w:t>European Journal of Heart Failure</w:t>
      </w:r>
      <w:r w:rsidRPr="00247439">
        <w:t>. 2020;</w:t>
      </w:r>
      <w:r w:rsidR="00E27AEA" w:rsidRPr="00247439">
        <w:t xml:space="preserve"> </w:t>
      </w:r>
      <w:r w:rsidRPr="00247439">
        <w:t>22:</w:t>
      </w:r>
      <w:r w:rsidR="00E27AEA" w:rsidRPr="00247439">
        <w:t xml:space="preserve"> </w:t>
      </w:r>
      <w:r w:rsidRPr="00247439">
        <w:t>1315</w:t>
      </w:r>
      <w:r w:rsidR="00E27AEA" w:rsidRPr="00247439">
        <w:t>–</w:t>
      </w:r>
      <w:r w:rsidRPr="00247439">
        <w:t>1341.</w:t>
      </w:r>
    </w:p>
    <w:p w14:paraId="30FBA0B3" w14:textId="6881556E" w:rsidR="00F1021D" w:rsidRPr="00247439" w:rsidRDefault="00F1021D" w:rsidP="00F1021D">
      <w:pPr>
        <w:pStyle w:val="af5"/>
      </w:pPr>
      <w:r w:rsidRPr="00247439">
        <w:t xml:space="preserve">[14] Møller MH, Claudius C, Junttila E, </w:t>
      </w:r>
      <w:r w:rsidR="00E27AEA" w:rsidRPr="00247439">
        <w:t xml:space="preserve">Haney M, </w:t>
      </w:r>
      <w:proofErr w:type="spellStart"/>
      <w:r w:rsidR="00E27AEA" w:rsidRPr="00247439">
        <w:t>Oscarsson-Tibblin</w:t>
      </w:r>
      <w:proofErr w:type="spellEnd"/>
      <w:r w:rsidR="00E27AEA" w:rsidRPr="00247439">
        <w:t xml:space="preserve"> A, </w:t>
      </w:r>
      <w:proofErr w:type="spellStart"/>
      <w:r w:rsidR="00E27AEA" w:rsidRPr="00247439">
        <w:t>Haavind</w:t>
      </w:r>
      <w:proofErr w:type="spellEnd"/>
      <w:r w:rsidR="00E27AEA" w:rsidRPr="00247439">
        <w:t xml:space="preserve"> A, </w:t>
      </w:r>
      <w:r w:rsidRPr="00247439">
        <w:rPr>
          <w:i/>
        </w:rPr>
        <w:t>et al</w:t>
      </w:r>
      <w:r w:rsidRPr="00247439">
        <w:t xml:space="preserve">. Scandinavian SSAI clinical practice guideline on choice of first-line vasopressor for patients with acute circulatory failure. </w:t>
      </w:r>
      <w:r w:rsidR="00E27AEA" w:rsidRPr="00247439">
        <w:t xml:space="preserve">Acta </w:t>
      </w:r>
      <w:proofErr w:type="spellStart"/>
      <w:r w:rsidR="00E27AEA" w:rsidRPr="00247439">
        <w:t>Anaesthesiologica</w:t>
      </w:r>
      <w:proofErr w:type="spellEnd"/>
      <w:r w:rsidR="00E27AEA" w:rsidRPr="00247439">
        <w:t xml:space="preserve"> Scandinavica</w:t>
      </w:r>
      <w:r w:rsidRPr="00247439">
        <w:t>. 2016;</w:t>
      </w:r>
      <w:r w:rsidR="00E27AEA" w:rsidRPr="00247439">
        <w:t xml:space="preserve"> </w:t>
      </w:r>
      <w:r w:rsidRPr="00247439">
        <w:t>60:</w:t>
      </w:r>
      <w:r w:rsidR="00E27AEA" w:rsidRPr="00247439">
        <w:t xml:space="preserve"> </w:t>
      </w:r>
      <w:r w:rsidRPr="00247439">
        <w:t>1347</w:t>
      </w:r>
      <w:r w:rsidR="00E27AEA" w:rsidRPr="00247439">
        <w:t>–</w:t>
      </w:r>
      <w:r w:rsidRPr="00247439">
        <w:t>1366.</w:t>
      </w:r>
    </w:p>
    <w:p w14:paraId="4050BBC8" w14:textId="423896EB" w:rsidR="00F1021D" w:rsidRPr="00247439" w:rsidRDefault="00F1021D" w:rsidP="00F1021D">
      <w:pPr>
        <w:pStyle w:val="af5"/>
      </w:pPr>
      <w:r w:rsidRPr="00247439">
        <w:t xml:space="preserve">[15] Møller MH, Granholm A, Junttila E, </w:t>
      </w:r>
      <w:r w:rsidR="00821A0F" w:rsidRPr="00247439">
        <w:t xml:space="preserve">Haney M, </w:t>
      </w:r>
      <w:proofErr w:type="spellStart"/>
      <w:r w:rsidR="00821A0F" w:rsidRPr="00247439">
        <w:t>Oscarsson-Tibblin</w:t>
      </w:r>
      <w:proofErr w:type="spellEnd"/>
      <w:r w:rsidR="00821A0F" w:rsidRPr="00247439">
        <w:t xml:space="preserve"> A, </w:t>
      </w:r>
      <w:proofErr w:type="spellStart"/>
      <w:r w:rsidR="00821A0F" w:rsidRPr="00247439">
        <w:t>Haavind</w:t>
      </w:r>
      <w:proofErr w:type="spellEnd"/>
      <w:r w:rsidR="00821A0F" w:rsidRPr="00247439">
        <w:t xml:space="preserve"> A, </w:t>
      </w:r>
      <w:r w:rsidRPr="00247439">
        <w:rPr>
          <w:i/>
        </w:rPr>
        <w:t>et al.</w:t>
      </w:r>
      <w:r w:rsidRPr="00247439">
        <w:t xml:space="preserve"> Scandinavian SSAI clinical practice guideline on choice of inotropic agent for patients with acute circulatory failure. </w:t>
      </w:r>
      <w:r w:rsidR="00821A0F" w:rsidRPr="00247439">
        <w:t xml:space="preserve">Acta </w:t>
      </w:r>
      <w:proofErr w:type="spellStart"/>
      <w:r w:rsidR="00821A0F" w:rsidRPr="00247439">
        <w:t>Anaesthesiologica</w:t>
      </w:r>
      <w:proofErr w:type="spellEnd"/>
      <w:r w:rsidR="00821A0F" w:rsidRPr="00247439">
        <w:t xml:space="preserve"> Scandinavica</w:t>
      </w:r>
      <w:r w:rsidRPr="00247439">
        <w:t>. 2018;</w:t>
      </w:r>
      <w:r w:rsidR="00821A0F" w:rsidRPr="00247439">
        <w:t xml:space="preserve"> </w:t>
      </w:r>
      <w:r w:rsidRPr="00247439">
        <w:t>62:</w:t>
      </w:r>
      <w:r w:rsidR="00821A0F" w:rsidRPr="00247439">
        <w:t xml:space="preserve"> 420–</w:t>
      </w:r>
      <w:r w:rsidRPr="00247439">
        <w:t>450.</w:t>
      </w:r>
    </w:p>
    <w:p w14:paraId="7440CFCE" w14:textId="00791C6F" w:rsidR="00F1021D" w:rsidRPr="00247439" w:rsidRDefault="00F1021D" w:rsidP="00F1021D">
      <w:pPr>
        <w:pStyle w:val="af5"/>
      </w:pPr>
      <w:r w:rsidRPr="00247439">
        <w:t xml:space="preserve">[16] DeWitt ES, Black KJ, Thiagarajan RR, </w:t>
      </w:r>
      <w:r w:rsidR="00821A0F" w:rsidRPr="00247439">
        <w:t xml:space="preserve">DiNardo JA, Colan SD, McGowan FX, </w:t>
      </w:r>
      <w:r w:rsidRPr="00247439">
        <w:rPr>
          <w:i/>
        </w:rPr>
        <w:t>et al</w:t>
      </w:r>
      <w:r w:rsidRPr="00247439">
        <w:t xml:space="preserve">. Effects of commonly used inotropes on myocardial function and oxygen consumption under constant ventricular loading conditions. </w:t>
      </w:r>
      <w:r w:rsidR="00821A0F" w:rsidRPr="00247439">
        <w:t>Journal of Applied Physiology</w:t>
      </w:r>
      <w:r w:rsidRPr="00247439">
        <w:t>. 2016;</w:t>
      </w:r>
      <w:r w:rsidR="00821A0F" w:rsidRPr="00247439">
        <w:t xml:space="preserve"> </w:t>
      </w:r>
      <w:r w:rsidRPr="00247439">
        <w:t>121:</w:t>
      </w:r>
      <w:r w:rsidR="00821A0F" w:rsidRPr="00247439">
        <w:t xml:space="preserve"> </w:t>
      </w:r>
      <w:r w:rsidRPr="00247439">
        <w:t>7</w:t>
      </w:r>
      <w:r w:rsidR="00821A0F" w:rsidRPr="00247439">
        <w:t>–</w:t>
      </w:r>
      <w:r w:rsidRPr="00247439">
        <w:t>14.</w:t>
      </w:r>
    </w:p>
    <w:p w14:paraId="7570FE1B" w14:textId="2B5172C5" w:rsidR="00F1021D" w:rsidRPr="00247439" w:rsidRDefault="00F1021D" w:rsidP="00F1021D">
      <w:pPr>
        <w:pStyle w:val="af5"/>
      </w:pPr>
      <w:r w:rsidRPr="00247439">
        <w:t xml:space="preserve">[17] Russell JA. Bench-to-bedside review: </w:t>
      </w:r>
      <w:r w:rsidR="00821A0F" w:rsidRPr="00247439">
        <w:t>v</w:t>
      </w:r>
      <w:r w:rsidRPr="00247439">
        <w:t xml:space="preserve">asopressin in the management of septic shock. </w:t>
      </w:r>
      <w:r w:rsidR="00821A0F" w:rsidRPr="00247439">
        <w:t>Critical Care</w:t>
      </w:r>
      <w:r w:rsidRPr="00247439">
        <w:t>. 2011;</w:t>
      </w:r>
      <w:r w:rsidR="00821A0F" w:rsidRPr="00247439">
        <w:t xml:space="preserve"> </w:t>
      </w:r>
      <w:r w:rsidRPr="00247439">
        <w:t>15:</w:t>
      </w:r>
      <w:r w:rsidR="00821A0F" w:rsidRPr="00247439">
        <w:t xml:space="preserve"> 226.</w:t>
      </w:r>
    </w:p>
    <w:p w14:paraId="0AD13DC9" w14:textId="69686166" w:rsidR="00F1021D" w:rsidRPr="00247439" w:rsidRDefault="00F1021D" w:rsidP="00F1021D">
      <w:pPr>
        <w:pStyle w:val="af5"/>
      </w:pPr>
      <w:r w:rsidRPr="00247439">
        <w:t xml:space="preserve">[18] Nagendran M, Russell JA, Walley KR, </w:t>
      </w:r>
      <w:r w:rsidR="00821A0F" w:rsidRPr="00247439">
        <w:t xml:space="preserve">Brett SJ, Perkins GD, Hajjar L, </w:t>
      </w:r>
      <w:r w:rsidRPr="00247439">
        <w:rPr>
          <w:i/>
        </w:rPr>
        <w:t>et al</w:t>
      </w:r>
      <w:r w:rsidRPr="00247439">
        <w:t xml:space="preserve">. Vasopressin in septic shock: an individual patient data meta-analysis of </w:t>
      </w:r>
      <w:proofErr w:type="spellStart"/>
      <w:r w:rsidRPr="00247439">
        <w:t>randomised</w:t>
      </w:r>
      <w:proofErr w:type="spellEnd"/>
      <w:r w:rsidRPr="00247439">
        <w:t xml:space="preserve"> controlled trials. </w:t>
      </w:r>
      <w:r w:rsidR="00821A0F" w:rsidRPr="00247439">
        <w:t>Intensive Care Medicine</w:t>
      </w:r>
      <w:r w:rsidRPr="00247439">
        <w:t>. 2019;</w:t>
      </w:r>
      <w:r w:rsidR="00821A0F" w:rsidRPr="00247439">
        <w:t xml:space="preserve"> </w:t>
      </w:r>
      <w:r w:rsidRPr="00247439">
        <w:t>45:</w:t>
      </w:r>
      <w:r w:rsidR="00821A0F" w:rsidRPr="00247439">
        <w:t xml:space="preserve"> </w:t>
      </w:r>
      <w:r w:rsidRPr="00247439">
        <w:t>844</w:t>
      </w:r>
      <w:r w:rsidR="00821A0F" w:rsidRPr="00247439">
        <w:t>–</w:t>
      </w:r>
      <w:r w:rsidRPr="00247439">
        <w:t>855.</w:t>
      </w:r>
    </w:p>
    <w:p w14:paraId="183BF1C2" w14:textId="0A05E3CF" w:rsidR="00F1021D" w:rsidRPr="00247439" w:rsidRDefault="00F1021D" w:rsidP="00F1021D">
      <w:pPr>
        <w:pStyle w:val="af5"/>
      </w:pPr>
      <w:r w:rsidRPr="00247439">
        <w:t xml:space="preserve">[19] Thiele RH, Nemergut EC, Lynch C. The physiologic implications of isolated </w:t>
      </w:r>
      <w:proofErr w:type="gramStart"/>
      <w:r w:rsidRPr="00247439">
        <w:t>alpha(</w:t>
      </w:r>
      <w:proofErr w:type="gramEnd"/>
      <w:r w:rsidRPr="00247439">
        <w:t xml:space="preserve">1) adrenergic stimulation. </w:t>
      </w:r>
      <w:r w:rsidR="000469A4" w:rsidRPr="00247439">
        <w:t>Anesthesia &amp; Analgesia</w:t>
      </w:r>
      <w:r w:rsidRPr="00247439">
        <w:t>. 2011;</w:t>
      </w:r>
      <w:r w:rsidR="000469A4" w:rsidRPr="00247439">
        <w:t xml:space="preserve"> </w:t>
      </w:r>
      <w:r w:rsidRPr="00247439">
        <w:t>113:</w:t>
      </w:r>
      <w:r w:rsidR="000469A4" w:rsidRPr="00247439">
        <w:t xml:space="preserve"> </w:t>
      </w:r>
      <w:r w:rsidRPr="00247439">
        <w:t>284</w:t>
      </w:r>
      <w:r w:rsidR="000469A4" w:rsidRPr="00247439">
        <w:t>–</w:t>
      </w:r>
      <w:r w:rsidRPr="00247439">
        <w:t>296.</w:t>
      </w:r>
    </w:p>
    <w:p w14:paraId="4EB6599F" w14:textId="5D8F4444" w:rsidR="00F1021D" w:rsidRPr="00247439" w:rsidRDefault="00F1021D" w:rsidP="00F1021D">
      <w:pPr>
        <w:pStyle w:val="af5"/>
        <w:rPr>
          <w:lang w:val="it-IT"/>
        </w:rPr>
      </w:pPr>
      <w:r w:rsidRPr="00247439">
        <w:t xml:space="preserve">[20] Thiele RH, Nemergut EC, Lynch C. The clinical implications of isolated </w:t>
      </w:r>
      <w:proofErr w:type="gramStart"/>
      <w:r w:rsidRPr="00247439">
        <w:t>alpha(</w:t>
      </w:r>
      <w:proofErr w:type="gramEnd"/>
      <w:r w:rsidRPr="00247439">
        <w:t xml:space="preserve">1) adrenergic stimulation. </w:t>
      </w:r>
      <w:r w:rsidR="000469A4" w:rsidRPr="00247439">
        <w:rPr>
          <w:lang w:val="it-IT"/>
        </w:rPr>
        <w:t>Anesthesia &amp; Analgesia</w:t>
      </w:r>
      <w:r w:rsidRPr="00247439">
        <w:rPr>
          <w:lang w:val="it-IT"/>
        </w:rPr>
        <w:t>. 2011;</w:t>
      </w:r>
      <w:r w:rsidR="000469A4" w:rsidRPr="00247439">
        <w:rPr>
          <w:lang w:val="it-IT"/>
        </w:rPr>
        <w:t xml:space="preserve"> </w:t>
      </w:r>
      <w:r w:rsidRPr="00247439">
        <w:rPr>
          <w:lang w:val="it-IT"/>
        </w:rPr>
        <w:t>113:</w:t>
      </w:r>
      <w:r w:rsidR="000469A4" w:rsidRPr="00247439">
        <w:rPr>
          <w:lang w:val="it-IT"/>
        </w:rPr>
        <w:t xml:space="preserve"> </w:t>
      </w:r>
      <w:r w:rsidRPr="00247439">
        <w:rPr>
          <w:lang w:val="it-IT"/>
        </w:rPr>
        <w:t>297</w:t>
      </w:r>
      <w:r w:rsidR="000469A4" w:rsidRPr="00247439">
        <w:rPr>
          <w:lang w:val="it-IT"/>
        </w:rPr>
        <w:t>–</w:t>
      </w:r>
      <w:r w:rsidRPr="00247439">
        <w:rPr>
          <w:lang w:val="it-IT"/>
        </w:rPr>
        <w:t>304.</w:t>
      </w:r>
    </w:p>
    <w:p w14:paraId="449900CD" w14:textId="361E0DEE" w:rsidR="00F1021D" w:rsidRPr="00247439" w:rsidRDefault="00F1021D" w:rsidP="00F1021D">
      <w:pPr>
        <w:pStyle w:val="af5"/>
      </w:pPr>
      <w:r w:rsidRPr="00247439">
        <w:rPr>
          <w:lang w:val="it-IT"/>
        </w:rPr>
        <w:t xml:space="preserve">[21] Bellomo R, Zarbock A, Landoni G. Angiotensin II. </w:t>
      </w:r>
      <w:r w:rsidR="000469A4" w:rsidRPr="00247439">
        <w:t>Intensive Care Medicine</w:t>
      </w:r>
      <w:r w:rsidRPr="00247439">
        <w:t>. 2024;</w:t>
      </w:r>
      <w:r w:rsidR="000469A4" w:rsidRPr="00247439">
        <w:t xml:space="preserve"> </w:t>
      </w:r>
      <w:r w:rsidRPr="00247439">
        <w:t>50:</w:t>
      </w:r>
      <w:r w:rsidR="000469A4" w:rsidRPr="00247439">
        <w:t xml:space="preserve"> </w:t>
      </w:r>
      <w:r w:rsidRPr="00247439">
        <w:t>279</w:t>
      </w:r>
      <w:r w:rsidR="000469A4" w:rsidRPr="00247439">
        <w:t>–282.</w:t>
      </w:r>
    </w:p>
    <w:p w14:paraId="3CC0A2B9" w14:textId="6D8128FE" w:rsidR="00F1021D" w:rsidRPr="00247439" w:rsidRDefault="00F1021D" w:rsidP="00F1021D">
      <w:pPr>
        <w:pStyle w:val="af5"/>
      </w:pPr>
      <w:r w:rsidRPr="00247439">
        <w:t xml:space="preserve">[22] Bennett SR, McKeown J, Drew P, Griffin S. Angiotensin in cardiac surgery: efficacy in patients on angiotensin converting enzyme inhibitors. </w:t>
      </w:r>
      <w:r w:rsidR="000469A4" w:rsidRPr="00247439">
        <w:t>European Journal of Heart Failure</w:t>
      </w:r>
      <w:r w:rsidRPr="00247439">
        <w:t>. 2001;</w:t>
      </w:r>
      <w:r w:rsidR="000469A4" w:rsidRPr="00247439">
        <w:t xml:space="preserve"> </w:t>
      </w:r>
      <w:r w:rsidRPr="00247439">
        <w:t>3:</w:t>
      </w:r>
      <w:r w:rsidR="000469A4" w:rsidRPr="00247439">
        <w:t xml:space="preserve"> </w:t>
      </w:r>
      <w:r w:rsidRPr="00247439">
        <w:t>587</w:t>
      </w:r>
      <w:r w:rsidR="000469A4" w:rsidRPr="00247439">
        <w:t>–</w:t>
      </w:r>
      <w:r w:rsidRPr="00247439">
        <w:t>592.</w:t>
      </w:r>
    </w:p>
    <w:p w14:paraId="452F5C69" w14:textId="6C1E2CEC" w:rsidR="00F1021D" w:rsidRPr="00247439" w:rsidRDefault="00F1021D" w:rsidP="00F1021D">
      <w:pPr>
        <w:pStyle w:val="af5"/>
      </w:pPr>
      <w:r w:rsidRPr="00247439">
        <w:t xml:space="preserve">[23] </w:t>
      </w:r>
      <w:proofErr w:type="spellStart"/>
      <w:r w:rsidRPr="00247439">
        <w:t>Landoni</w:t>
      </w:r>
      <w:proofErr w:type="spellEnd"/>
      <w:r w:rsidRPr="00247439">
        <w:t xml:space="preserve"> G, </w:t>
      </w:r>
      <w:proofErr w:type="spellStart"/>
      <w:r w:rsidRPr="00247439">
        <w:t>Cortegiani</w:t>
      </w:r>
      <w:proofErr w:type="spellEnd"/>
      <w:r w:rsidRPr="00247439">
        <w:t xml:space="preserve"> A, </w:t>
      </w:r>
      <w:proofErr w:type="spellStart"/>
      <w:r w:rsidRPr="00247439">
        <w:t>Bignami</w:t>
      </w:r>
      <w:proofErr w:type="spellEnd"/>
      <w:r w:rsidRPr="00247439">
        <w:t xml:space="preserve"> E, </w:t>
      </w:r>
      <w:r w:rsidR="000469A4" w:rsidRPr="00247439">
        <w:t xml:space="preserve">De Pascale G, </w:t>
      </w:r>
      <w:proofErr w:type="spellStart"/>
      <w:r w:rsidR="000469A4" w:rsidRPr="00247439">
        <w:t>Donadello</w:t>
      </w:r>
      <w:proofErr w:type="spellEnd"/>
      <w:r w:rsidR="000469A4" w:rsidRPr="00247439">
        <w:t xml:space="preserve"> K, </w:t>
      </w:r>
      <w:proofErr w:type="spellStart"/>
      <w:r w:rsidR="000469A4" w:rsidRPr="00247439">
        <w:t>Donati</w:t>
      </w:r>
      <w:proofErr w:type="spellEnd"/>
      <w:r w:rsidR="000469A4" w:rsidRPr="00247439">
        <w:t xml:space="preserve"> A, </w:t>
      </w:r>
      <w:r w:rsidRPr="00247439">
        <w:rPr>
          <w:i/>
        </w:rPr>
        <w:t>et al</w:t>
      </w:r>
      <w:r w:rsidRPr="00247439">
        <w:t xml:space="preserve">. The use of angiotensin II for the management of distributive shock: expert consensus statements. </w:t>
      </w:r>
      <w:r w:rsidR="000469A4" w:rsidRPr="00247439">
        <w:t>Journal of Anesthesia, Analgesia and Critical Care</w:t>
      </w:r>
      <w:r w:rsidRPr="00247439">
        <w:t>. 2024;</w:t>
      </w:r>
      <w:r w:rsidR="000469A4" w:rsidRPr="00247439">
        <w:t xml:space="preserve"> </w:t>
      </w:r>
      <w:r w:rsidRPr="00247439">
        <w:t>4:</w:t>
      </w:r>
      <w:r w:rsidR="000469A4" w:rsidRPr="00247439">
        <w:t xml:space="preserve"> 56.</w:t>
      </w:r>
    </w:p>
    <w:p w14:paraId="44F913BE" w14:textId="01A55606" w:rsidR="00F1021D" w:rsidRPr="00247439" w:rsidRDefault="00F1021D" w:rsidP="00F1021D">
      <w:pPr>
        <w:pStyle w:val="af5"/>
      </w:pPr>
      <w:r w:rsidRPr="00247439">
        <w:t xml:space="preserve">[24] Khanna A, English SW, Wang XS, </w:t>
      </w:r>
      <w:r w:rsidR="000469A4" w:rsidRPr="00247439">
        <w:t xml:space="preserve">Ham K, </w:t>
      </w:r>
      <w:proofErr w:type="spellStart"/>
      <w:r w:rsidR="000469A4" w:rsidRPr="00247439">
        <w:t>Tumlin</w:t>
      </w:r>
      <w:proofErr w:type="spellEnd"/>
      <w:r w:rsidR="000469A4" w:rsidRPr="00247439">
        <w:t xml:space="preserve"> J, </w:t>
      </w:r>
      <w:proofErr w:type="spellStart"/>
      <w:r w:rsidR="000469A4" w:rsidRPr="00247439">
        <w:t>Szerlip</w:t>
      </w:r>
      <w:proofErr w:type="spellEnd"/>
      <w:r w:rsidR="000469A4" w:rsidRPr="00247439">
        <w:t xml:space="preserve"> H, </w:t>
      </w:r>
      <w:r w:rsidRPr="00247439">
        <w:rPr>
          <w:i/>
        </w:rPr>
        <w:t>et al</w:t>
      </w:r>
      <w:r w:rsidRPr="00247439">
        <w:t>. Angiotensin II for th</w:t>
      </w:r>
      <w:r w:rsidR="000469A4" w:rsidRPr="00247439">
        <w:t>e treatment of vasodilatory sh</w:t>
      </w:r>
      <w:r w:rsidRPr="00247439">
        <w:t xml:space="preserve">ock. </w:t>
      </w:r>
      <w:r w:rsidR="000469A4" w:rsidRPr="00247439">
        <w:t>The New England Journal of Medicine</w:t>
      </w:r>
      <w:r w:rsidRPr="00247439">
        <w:t>. 2017;</w:t>
      </w:r>
      <w:r w:rsidR="000469A4" w:rsidRPr="00247439">
        <w:t xml:space="preserve"> </w:t>
      </w:r>
      <w:r w:rsidRPr="00247439">
        <w:t>377:</w:t>
      </w:r>
      <w:r w:rsidR="000469A4" w:rsidRPr="00247439">
        <w:t xml:space="preserve"> </w:t>
      </w:r>
      <w:r w:rsidRPr="00247439">
        <w:t>419</w:t>
      </w:r>
      <w:r w:rsidR="000469A4" w:rsidRPr="00247439">
        <w:t>–</w:t>
      </w:r>
      <w:r w:rsidRPr="00247439">
        <w:t>430.</w:t>
      </w:r>
    </w:p>
    <w:p w14:paraId="22773392" w14:textId="6868A6CF" w:rsidR="00F1021D" w:rsidRPr="00247439" w:rsidRDefault="00F1021D" w:rsidP="00F1021D">
      <w:pPr>
        <w:pStyle w:val="af5"/>
      </w:pPr>
      <w:r w:rsidRPr="00247439">
        <w:t xml:space="preserve">[25] Tumlin JA, Murugan R, Deane AM, </w:t>
      </w:r>
      <w:r w:rsidR="000469A4" w:rsidRPr="00247439">
        <w:t xml:space="preserve">Ostermann M, Busse LW, Ham KR, </w:t>
      </w:r>
      <w:r w:rsidRPr="00247439">
        <w:rPr>
          <w:i/>
        </w:rPr>
        <w:t>et al</w:t>
      </w:r>
      <w:r w:rsidRPr="00247439">
        <w:t xml:space="preserve">. Outcomes </w:t>
      </w:r>
      <w:r w:rsidR="000469A4" w:rsidRPr="00247439">
        <w:t>in patients with vasodilatory shock and renal replacement therapy treated with intravenous angiotens</w:t>
      </w:r>
      <w:r w:rsidRPr="00247439">
        <w:t xml:space="preserve">in II. </w:t>
      </w:r>
      <w:r w:rsidR="000469A4" w:rsidRPr="00247439">
        <w:t>Critical Care Medicine</w:t>
      </w:r>
      <w:r w:rsidRPr="00247439">
        <w:t>. 2018;</w:t>
      </w:r>
      <w:r w:rsidR="000469A4" w:rsidRPr="00247439">
        <w:t xml:space="preserve"> </w:t>
      </w:r>
      <w:r w:rsidRPr="00247439">
        <w:t>46:</w:t>
      </w:r>
      <w:r w:rsidR="000469A4" w:rsidRPr="00247439">
        <w:t xml:space="preserve"> </w:t>
      </w:r>
      <w:r w:rsidRPr="00247439">
        <w:t>949</w:t>
      </w:r>
      <w:r w:rsidR="000469A4" w:rsidRPr="00247439">
        <w:t>–957.</w:t>
      </w:r>
    </w:p>
    <w:p w14:paraId="52022FD2" w14:textId="1F4B5FE7" w:rsidR="00F1021D" w:rsidRPr="00247439" w:rsidRDefault="00F1021D" w:rsidP="00F1021D">
      <w:pPr>
        <w:pStyle w:val="af5"/>
      </w:pPr>
      <w:r w:rsidRPr="00247439">
        <w:t xml:space="preserve">[26] Bellomo R, Forni LG, Busse LW, </w:t>
      </w:r>
      <w:r w:rsidR="000469A4" w:rsidRPr="00247439">
        <w:t xml:space="preserve">McCurdy MT, Ham KR, Boldt DW, </w:t>
      </w:r>
      <w:r w:rsidRPr="00247439">
        <w:rPr>
          <w:i/>
        </w:rPr>
        <w:t>et al</w:t>
      </w:r>
      <w:r w:rsidRPr="00247439">
        <w:t>. Renin an</w:t>
      </w:r>
      <w:r w:rsidR="000469A4" w:rsidRPr="00247439">
        <w:t>d survival in patients given angioten</w:t>
      </w:r>
      <w:r w:rsidRPr="00247439">
        <w:t xml:space="preserve">sin II for </w:t>
      </w:r>
      <w:r w:rsidR="000469A4" w:rsidRPr="00247439">
        <w:t>catecholamine-resistant vasodilatory shoc</w:t>
      </w:r>
      <w:r w:rsidRPr="00247439">
        <w:t xml:space="preserve">k. A </w:t>
      </w:r>
      <w:r w:rsidR="000469A4" w:rsidRPr="00247439">
        <w:t>clinical t</w:t>
      </w:r>
      <w:r w:rsidRPr="00247439">
        <w:t xml:space="preserve">rial. </w:t>
      </w:r>
      <w:r w:rsidR="000469A4" w:rsidRPr="00247439">
        <w:t>American Journal of Respiratory and Critical Care Medicine</w:t>
      </w:r>
      <w:r w:rsidRPr="00247439">
        <w:t>. 2020;</w:t>
      </w:r>
      <w:r w:rsidR="000469A4" w:rsidRPr="00247439">
        <w:t xml:space="preserve"> </w:t>
      </w:r>
      <w:r w:rsidRPr="00247439">
        <w:t>202:</w:t>
      </w:r>
      <w:r w:rsidR="000469A4" w:rsidRPr="00247439">
        <w:t xml:space="preserve"> </w:t>
      </w:r>
      <w:r w:rsidRPr="00247439">
        <w:t>1253</w:t>
      </w:r>
      <w:r w:rsidR="000469A4" w:rsidRPr="00247439">
        <w:t>–</w:t>
      </w:r>
      <w:r w:rsidRPr="00247439">
        <w:t>1261.</w:t>
      </w:r>
    </w:p>
    <w:p w14:paraId="38F16594" w14:textId="23A6A5C0" w:rsidR="00F1021D" w:rsidRPr="00247439" w:rsidRDefault="00F1021D" w:rsidP="00F1021D">
      <w:pPr>
        <w:pStyle w:val="af5"/>
      </w:pPr>
      <w:r w:rsidRPr="00247439">
        <w:t>[27] Coulson TG, Miles LF, Serpa Neto A,</w:t>
      </w:r>
      <w:r w:rsidR="002D4C50" w:rsidRPr="00247439">
        <w:t xml:space="preserve"> Pilcher D, Weinberg L, Landoni G,</w:t>
      </w:r>
      <w:r w:rsidRPr="00247439">
        <w:t xml:space="preserve"> </w:t>
      </w:r>
      <w:r w:rsidRPr="00247439">
        <w:rPr>
          <w:i/>
        </w:rPr>
        <w:t xml:space="preserve">et al. </w:t>
      </w:r>
      <w:r w:rsidRPr="00247439">
        <w:t xml:space="preserve">A double-blind </w:t>
      </w:r>
      <w:proofErr w:type="spellStart"/>
      <w:r w:rsidRPr="00247439">
        <w:t>randomised</w:t>
      </w:r>
      <w:proofErr w:type="spellEnd"/>
      <w:r w:rsidRPr="00247439">
        <w:t xml:space="preserve"> feasibility trial of angiotensin-2 in cardiac surgery. </w:t>
      </w:r>
      <w:proofErr w:type="spellStart"/>
      <w:r w:rsidRPr="00247439">
        <w:t>Anaesthesia</w:t>
      </w:r>
      <w:proofErr w:type="spellEnd"/>
      <w:r w:rsidRPr="00247439">
        <w:t>. 2022;</w:t>
      </w:r>
      <w:r w:rsidR="002D4C50" w:rsidRPr="00247439">
        <w:t xml:space="preserve"> </w:t>
      </w:r>
      <w:r w:rsidRPr="00247439">
        <w:t>77:</w:t>
      </w:r>
      <w:r w:rsidR="002D4C50" w:rsidRPr="00247439">
        <w:t xml:space="preserve"> </w:t>
      </w:r>
      <w:r w:rsidRPr="00247439">
        <w:t>999</w:t>
      </w:r>
      <w:r w:rsidR="002D4C50" w:rsidRPr="00247439">
        <w:t>–</w:t>
      </w:r>
      <w:r w:rsidRPr="00247439">
        <w:t>1009.</w:t>
      </w:r>
    </w:p>
    <w:p w14:paraId="1FD2B3E3" w14:textId="267865C2" w:rsidR="00F1021D" w:rsidRPr="00247439" w:rsidRDefault="00F1021D" w:rsidP="00F1021D">
      <w:pPr>
        <w:pStyle w:val="af5"/>
      </w:pPr>
      <w:r w:rsidRPr="00247439">
        <w:t xml:space="preserve">[28] Papp Z, </w:t>
      </w:r>
      <w:proofErr w:type="spellStart"/>
      <w:r w:rsidRPr="00247439">
        <w:t>Édes</w:t>
      </w:r>
      <w:proofErr w:type="spellEnd"/>
      <w:r w:rsidRPr="00247439">
        <w:t xml:space="preserve"> I, </w:t>
      </w:r>
      <w:proofErr w:type="spellStart"/>
      <w:r w:rsidRPr="00247439">
        <w:t>Fruhwald</w:t>
      </w:r>
      <w:proofErr w:type="spellEnd"/>
      <w:r w:rsidRPr="00247439">
        <w:t xml:space="preserve"> S, </w:t>
      </w:r>
      <w:r w:rsidR="002D4C50" w:rsidRPr="00247439">
        <w:t xml:space="preserve">De </w:t>
      </w:r>
      <w:proofErr w:type="spellStart"/>
      <w:r w:rsidR="002D4C50" w:rsidRPr="00247439">
        <w:t>Hert</w:t>
      </w:r>
      <w:proofErr w:type="spellEnd"/>
      <w:r w:rsidR="002D4C50" w:rsidRPr="00247439">
        <w:t xml:space="preserve"> SG, </w:t>
      </w:r>
      <w:proofErr w:type="spellStart"/>
      <w:r w:rsidR="002D4C50" w:rsidRPr="00247439">
        <w:t>Salmenperä</w:t>
      </w:r>
      <w:proofErr w:type="spellEnd"/>
      <w:r w:rsidR="002D4C50" w:rsidRPr="00247439">
        <w:t xml:space="preserve"> M, </w:t>
      </w:r>
      <w:proofErr w:type="spellStart"/>
      <w:r w:rsidR="002D4C50" w:rsidRPr="00247439">
        <w:t>Leppikangas</w:t>
      </w:r>
      <w:proofErr w:type="spellEnd"/>
      <w:r w:rsidR="002D4C50" w:rsidRPr="00247439">
        <w:t xml:space="preserve"> H, </w:t>
      </w:r>
      <w:r w:rsidRPr="00247439">
        <w:rPr>
          <w:i/>
        </w:rPr>
        <w:t>et al</w:t>
      </w:r>
      <w:r w:rsidRPr="00247439">
        <w:t xml:space="preserve">. Levosimendan: molecular mechanisms and clinical implications: consensus of experts on the mechanisms of action of levosimendan. </w:t>
      </w:r>
      <w:r w:rsidR="002D4C50" w:rsidRPr="00247439">
        <w:t>International Journal of Cardiology</w:t>
      </w:r>
      <w:r w:rsidRPr="00247439">
        <w:t>. 2012;</w:t>
      </w:r>
      <w:r w:rsidR="002D4C50" w:rsidRPr="00247439">
        <w:t xml:space="preserve"> </w:t>
      </w:r>
      <w:r w:rsidRPr="00247439">
        <w:t>159:</w:t>
      </w:r>
      <w:r w:rsidR="002D4C50" w:rsidRPr="00247439">
        <w:t xml:space="preserve"> </w:t>
      </w:r>
      <w:r w:rsidRPr="00247439">
        <w:t>82</w:t>
      </w:r>
      <w:r w:rsidR="002D4C50" w:rsidRPr="00247439">
        <w:t>–</w:t>
      </w:r>
      <w:r w:rsidRPr="00247439">
        <w:t>87.</w:t>
      </w:r>
    </w:p>
    <w:p w14:paraId="714BCC20" w14:textId="7CA58912" w:rsidR="00F1021D" w:rsidRPr="00247439" w:rsidRDefault="00F1021D" w:rsidP="00F1021D">
      <w:pPr>
        <w:pStyle w:val="af5"/>
      </w:pPr>
      <w:r w:rsidRPr="00247439">
        <w:t xml:space="preserve">[29] Nieminen MS, </w:t>
      </w:r>
      <w:proofErr w:type="spellStart"/>
      <w:r w:rsidRPr="00247439">
        <w:t>Fruhwald</w:t>
      </w:r>
      <w:proofErr w:type="spellEnd"/>
      <w:r w:rsidRPr="00247439">
        <w:t xml:space="preserve"> S, </w:t>
      </w:r>
      <w:proofErr w:type="spellStart"/>
      <w:r w:rsidRPr="00247439">
        <w:t>Heunks</w:t>
      </w:r>
      <w:proofErr w:type="spellEnd"/>
      <w:r w:rsidRPr="00247439">
        <w:t xml:space="preserve"> LMA, </w:t>
      </w:r>
      <w:r w:rsidR="00637170" w:rsidRPr="00247439">
        <w:t xml:space="preserve">Suominen PK, Gordon AC, </w:t>
      </w:r>
      <w:proofErr w:type="spellStart"/>
      <w:r w:rsidR="00637170" w:rsidRPr="00247439">
        <w:t>Kivikko</w:t>
      </w:r>
      <w:proofErr w:type="spellEnd"/>
      <w:r w:rsidR="00637170" w:rsidRPr="00247439">
        <w:t xml:space="preserve"> M, </w:t>
      </w:r>
      <w:r w:rsidRPr="00247439">
        <w:rPr>
          <w:i/>
        </w:rPr>
        <w:t>et al</w:t>
      </w:r>
      <w:r w:rsidRPr="00247439">
        <w:t xml:space="preserve">. Levosimendan: current data, clinical use and future development. </w:t>
      </w:r>
      <w:r w:rsidR="00637170" w:rsidRPr="00247439">
        <w:t>Heart, Lung and Vessels</w:t>
      </w:r>
      <w:r w:rsidRPr="00247439">
        <w:t>. 2013;</w:t>
      </w:r>
      <w:r w:rsidR="00637170" w:rsidRPr="00247439">
        <w:t xml:space="preserve"> </w:t>
      </w:r>
      <w:r w:rsidRPr="00247439">
        <w:t>5:</w:t>
      </w:r>
      <w:r w:rsidR="00637170" w:rsidRPr="00247439">
        <w:t xml:space="preserve"> </w:t>
      </w:r>
      <w:r w:rsidRPr="00247439">
        <w:t>227</w:t>
      </w:r>
      <w:r w:rsidR="00637170" w:rsidRPr="00247439">
        <w:t>–</w:t>
      </w:r>
      <w:r w:rsidRPr="00247439">
        <w:t>245.</w:t>
      </w:r>
    </w:p>
    <w:p w14:paraId="587E6A7E" w14:textId="0E7C97D2" w:rsidR="002D6D93" w:rsidRPr="00247439" w:rsidRDefault="00F1021D" w:rsidP="00F1021D">
      <w:pPr>
        <w:pStyle w:val="af5"/>
      </w:pPr>
      <w:r w:rsidRPr="00247439">
        <w:t xml:space="preserve">[30] </w:t>
      </w:r>
      <w:proofErr w:type="spellStart"/>
      <w:r w:rsidRPr="00247439">
        <w:t>Ørstavik</w:t>
      </w:r>
      <w:proofErr w:type="spellEnd"/>
      <w:r w:rsidRPr="00247439">
        <w:t xml:space="preserve"> O, Ata SH, Riise J, </w:t>
      </w:r>
      <w:r w:rsidR="00637170" w:rsidRPr="00247439">
        <w:t xml:space="preserve">Dahl CP, Andersen GØ, Levy FO, </w:t>
      </w:r>
      <w:r w:rsidRPr="00247439">
        <w:rPr>
          <w:i/>
        </w:rPr>
        <w:t>et al</w:t>
      </w:r>
      <w:r w:rsidRPr="00247439">
        <w:t xml:space="preserve">. Inhibition of phosphodiesterase-3 by levosimendan is sufficient to account for its inotropic effect in failing human heart. </w:t>
      </w:r>
      <w:r w:rsidR="00637170" w:rsidRPr="00247439">
        <w:t>British Journal of Pharmacology</w:t>
      </w:r>
      <w:r w:rsidRPr="00247439">
        <w:t>. 2014;</w:t>
      </w:r>
      <w:r w:rsidR="00637170" w:rsidRPr="00247439">
        <w:t xml:space="preserve"> </w:t>
      </w:r>
      <w:r w:rsidRPr="00247439">
        <w:t>171:</w:t>
      </w:r>
      <w:r w:rsidR="00637170" w:rsidRPr="00247439">
        <w:t xml:space="preserve"> </w:t>
      </w:r>
      <w:r w:rsidRPr="00247439">
        <w:t>5169</w:t>
      </w:r>
      <w:r w:rsidR="00637170" w:rsidRPr="00247439">
        <w:t>–5181.</w:t>
      </w:r>
    </w:p>
    <w:sectPr w:rsidR="002D6D93" w:rsidRPr="00247439" w:rsidSect="006657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709" w:footer="709" w:gutter="0"/>
      <w:cols w:space="708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D882" w14:textId="77777777" w:rsidR="00972D43" w:rsidRDefault="00972D43" w:rsidP="0032069E">
      <w:pPr>
        <w:ind w:firstLine="420"/>
      </w:pPr>
      <w:r>
        <w:separator/>
      </w:r>
    </w:p>
  </w:endnote>
  <w:endnote w:type="continuationSeparator" w:id="0">
    <w:p w14:paraId="4490DDFA" w14:textId="77777777" w:rsidR="00972D43" w:rsidRDefault="00972D43" w:rsidP="0032069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66A8" w14:textId="77777777" w:rsidR="000469A4" w:rsidRDefault="000469A4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636298"/>
      <w:docPartObj>
        <w:docPartGallery w:val="Page Numbers (Bottom of Page)"/>
        <w:docPartUnique/>
      </w:docPartObj>
    </w:sdtPr>
    <w:sdtEndPr/>
    <w:sdtContent>
      <w:p w14:paraId="25F7D0DB" w14:textId="03218695" w:rsidR="000469A4" w:rsidRDefault="000469A4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170" w:rsidRPr="00637170">
          <w:rPr>
            <w:noProof/>
            <w:lang w:val="zh-CN"/>
          </w:rPr>
          <w:t>5</w:t>
        </w:r>
        <w:r>
          <w:fldChar w:fldCharType="end"/>
        </w:r>
      </w:p>
    </w:sdtContent>
  </w:sdt>
  <w:p w14:paraId="5A30810E" w14:textId="77777777" w:rsidR="000469A4" w:rsidRDefault="000469A4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46B8" w14:textId="77777777" w:rsidR="000469A4" w:rsidRDefault="000469A4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74C8" w14:textId="77777777" w:rsidR="00972D43" w:rsidRDefault="00972D43" w:rsidP="0032069E">
      <w:pPr>
        <w:ind w:firstLine="420"/>
      </w:pPr>
      <w:r>
        <w:separator/>
      </w:r>
    </w:p>
  </w:footnote>
  <w:footnote w:type="continuationSeparator" w:id="0">
    <w:p w14:paraId="38B1D223" w14:textId="77777777" w:rsidR="00972D43" w:rsidRDefault="00972D43" w:rsidP="0032069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0905" w14:textId="77777777" w:rsidR="000469A4" w:rsidRDefault="000469A4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4231" w14:textId="77777777" w:rsidR="000469A4" w:rsidRDefault="000469A4" w:rsidP="00332994">
    <w:pPr>
      <w:pStyle w:val="af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DFDE" w14:textId="77777777" w:rsidR="000469A4" w:rsidRDefault="000469A4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3FA2958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3615EFC"/>
    <w:multiLevelType w:val="hybridMultilevel"/>
    <w:tmpl w:val="D690E5C0"/>
    <w:lvl w:ilvl="0" w:tplc="63229E7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08"/>
  <w:hyphenationZone w:val="283"/>
  <w:drawingGridHorizontalSpacing w:val="105"/>
  <w:drawingGridVerticalSpacing w:val="2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93"/>
    <w:rsid w:val="000322CC"/>
    <w:rsid w:val="000469A4"/>
    <w:rsid w:val="000D314A"/>
    <w:rsid w:val="000D57C0"/>
    <w:rsid w:val="001179F7"/>
    <w:rsid w:val="00126A97"/>
    <w:rsid w:val="00146770"/>
    <w:rsid w:val="001541AB"/>
    <w:rsid w:val="00247439"/>
    <w:rsid w:val="002D4C50"/>
    <w:rsid w:val="002D6D93"/>
    <w:rsid w:val="0032069E"/>
    <w:rsid w:val="00332994"/>
    <w:rsid w:val="003334A8"/>
    <w:rsid w:val="0038204D"/>
    <w:rsid w:val="005F4DF0"/>
    <w:rsid w:val="00637170"/>
    <w:rsid w:val="00657DF8"/>
    <w:rsid w:val="00665757"/>
    <w:rsid w:val="00685048"/>
    <w:rsid w:val="007310C7"/>
    <w:rsid w:val="00732BC7"/>
    <w:rsid w:val="00762FC7"/>
    <w:rsid w:val="007E7802"/>
    <w:rsid w:val="00821A0F"/>
    <w:rsid w:val="00845B1C"/>
    <w:rsid w:val="00965015"/>
    <w:rsid w:val="00972D43"/>
    <w:rsid w:val="00A9668A"/>
    <w:rsid w:val="00AB682C"/>
    <w:rsid w:val="00AD3813"/>
    <w:rsid w:val="00AE2D56"/>
    <w:rsid w:val="00B04C3F"/>
    <w:rsid w:val="00BA3708"/>
    <w:rsid w:val="00C14252"/>
    <w:rsid w:val="00C167BD"/>
    <w:rsid w:val="00C36C74"/>
    <w:rsid w:val="00C55832"/>
    <w:rsid w:val="00C74094"/>
    <w:rsid w:val="00D009EB"/>
    <w:rsid w:val="00D1172E"/>
    <w:rsid w:val="00D665C6"/>
    <w:rsid w:val="00E27AEA"/>
    <w:rsid w:val="00E71982"/>
    <w:rsid w:val="00EB4CF2"/>
    <w:rsid w:val="00EE0EA4"/>
    <w:rsid w:val="00EF0122"/>
    <w:rsid w:val="00F1021D"/>
    <w:rsid w:val="00F77E3D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6E2C"/>
  <w15:chartTrackingRefBased/>
  <w15:docId w15:val="{A010034E-75D9-4656-BE9C-8071FC91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94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332994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332994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332994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32994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299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32994"/>
    <w:pPr>
      <w:keepNext/>
      <w:keepLines/>
      <w:numPr>
        <w:ilvl w:val="5"/>
        <w:numId w:val="9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32994"/>
    <w:pPr>
      <w:keepNext/>
      <w:keepLines/>
      <w:numPr>
        <w:ilvl w:val="6"/>
        <w:numId w:val="9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332994"/>
    <w:pPr>
      <w:keepNext/>
      <w:keepLines/>
      <w:numPr>
        <w:ilvl w:val="7"/>
        <w:numId w:val="9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994"/>
    <w:pPr>
      <w:keepNext/>
      <w:keepLines/>
      <w:numPr>
        <w:ilvl w:val="8"/>
        <w:numId w:val="9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332994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332994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332994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332994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332994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332994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332994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332994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332994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EF0122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EF0122"/>
    <w:pPr>
      <w:jc w:val="left"/>
    </w:pPr>
  </w:style>
  <w:style w:type="paragraph" w:styleId="a6">
    <w:name w:val="Subtitle"/>
    <w:basedOn w:val="a"/>
    <w:next w:val="a"/>
    <w:link w:val="a7"/>
    <w:uiPriority w:val="11"/>
    <w:qFormat/>
    <w:rsid w:val="002D6D93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D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D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D6D9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D6D9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D6D9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D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D6D9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D6D93"/>
    <w:rPr>
      <w:b/>
      <w:bCs/>
      <w:smallCaps/>
      <w:color w:val="0F4761" w:themeColor="accent1" w:themeShade="BF"/>
      <w:spacing w:val="5"/>
    </w:rPr>
  </w:style>
  <w:style w:type="table" w:styleId="2-1">
    <w:name w:val="List Table 2 Accent 1"/>
    <w:basedOn w:val="a1"/>
    <w:uiPriority w:val="47"/>
    <w:rsid w:val="002D6D9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f">
    <w:name w:val="header"/>
    <w:basedOn w:val="a"/>
    <w:link w:val="af0"/>
    <w:uiPriority w:val="99"/>
    <w:unhideWhenUsed/>
    <w:rsid w:val="0033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332994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33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rsid w:val="00332994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table" w:styleId="61">
    <w:name w:val="List Table 6 Colorful"/>
    <w:basedOn w:val="a1"/>
    <w:uiPriority w:val="51"/>
    <w:rsid w:val="001541AB"/>
    <w:pPr>
      <w:spacing w:after="0" w:line="240" w:lineRule="auto"/>
    </w:pPr>
    <w:rPr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3">
    <w:name w:val="表题"/>
    <w:basedOn w:val="a"/>
    <w:autoRedefine/>
    <w:qFormat/>
    <w:rsid w:val="00665757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f4">
    <w:name w:val="表注"/>
    <w:basedOn w:val="af3"/>
    <w:autoRedefine/>
    <w:qFormat/>
    <w:rsid w:val="00332994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5">
    <w:name w:val="参考文献"/>
    <w:basedOn w:val="a"/>
    <w:autoRedefine/>
    <w:qFormat/>
    <w:rsid w:val="00332994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332994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332994"/>
    <w:pPr>
      <w:ind w:firstLineChars="0" w:firstLine="0"/>
    </w:pPr>
    <w:rPr>
      <w:noProof/>
    </w:rPr>
  </w:style>
  <w:style w:type="character" w:styleId="af8">
    <w:name w:val="line number"/>
    <w:uiPriority w:val="99"/>
    <w:semiHidden/>
    <w:unhideWhenUsed/>
    <w:rsid w:val="00332994"/>
  </w:style>
  <w:style w:type="paragraph" w:customStyle="1" w:styleId="af9">
    <w:name w:val="机构信息"/>
    <w:basedOn w:val="a"/>
    <w:link w:val="afa"/>
    <w:autoRedefine/>
    <w:qFormat/>
    <w:rsid w:val="00332994"/>
    <w:pPr>
      <w:ind w:firstLineChars="0" w:firstLine="0"/>
    </w:pPr>
    <w:rPr>
      <w:i/>
    </w:rPr>
  </w:style>
  <w:style w:type="character" w:customStyle="1" w:styleId="afa">
    <w:name w:val="机构信息 字符"/>
    <w:link w:val="af9"/>
    <w:rsid w:val="00332994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b">
    <w:name w:val="接收日期"/>
    <w:basedOn w:val="a"/>
    <w:autoRedefine/>
    <w:qFormat/>
    <w:rsid w:val="00332994"/>
    <w:pPr>
      <w:ind w:firstLineChars="0" w:firstLine="0"/>
    </w:pPr>
  </w:style>
  <w:style w:type="paragraph" w:styleId="afc">
    <w:name w:val="Normal (Web)"/>
    <w:basedOn w:val="a"/>
    <w:uiPriority w:val="99"/>
    <w:unhideWhenUsed/>
    <w:rsid w:val="00332994"/>
    <w:pPr>
      <w:spacing w:before="100" w:beforeAutospacing="1" w:after="100" w:afterAutospacing="1"/>
    </w:pPr>
    <w:rPr>
      <w:lang w:eastAsia="en-US"/>
    </w:rPr>
  </w:style>
  <w:style w:type="paragraph" w:customStyle="1" w:styleId="afd">
    <w:name w:val="通讯作者"/>
    <w:basedOn w:val="a"/>
    <w:autoRedefine/>
    <w:qFormat/>
    <w:rsid w:val="00332994"/>
    <w:pPr>
      <w:ind w:firstLineChars="0" w:firstLine="0"/>
    </w:pPr>
  </w:style>
  <w:style w:type="paragraph" w:customStyle="1" w:styleId="afe">
    <w:name w:val="图注"/>
    <w:basedOn w:val="af4"/>
    <w:autoRedefine/>
    <w:qFormat/>
    <w:rsid w:val="00332994"/>
  </w:style>
  <w:style w:type="table" w:styleId="aff">
    <w:name w:val="Table Grid"/>
    <w:basedOn w:val="a1"/>
    <w:uiPriority w:val="59"/>
    <w:qFormat/>
    <w:rsid w:val="00332994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文章标题"/>
    <w:basedOn w:val="a"/>
    <w:link w:val="aff1"/>
    <w:autoRedefine/>
    <w:qFormat/>
    <w:rsid w:val="00665757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rsid w:val="00665757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2">
    <w:name w:val="文章内容"/>
    <w:basedOn w:val="a"/>
    <w:link w:val="aff3"/>
    <w:autoRedefine/>
    <w:rsid w:val="00332994"/>
    <w:pPr>
      <w:ind w:firstLine="420"/>
    </w:pPr>
    <w:rPr>
      <w:color w:val="000000"/>
    </w:rPr>
  </w:style>
  <w:style w:type="character" w:customStyle="1" w:styleId="aff3">
    <w:name w:val="文章内容 字符"/>
    <w:link w:val="aff2"/>
    <w:rsid w:val="00332994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paragraph" w:customStyle="1" w:styleId="aff4">
    <w:name w:val="摘要"/>
    <w:basedOn w:val="a"/>
    <w:autoRedefine/>
    <w:qFormat/>
    <w:rsid w:val="00332994"/>
    <w:pPr>
      <w:ind w:firstLineChars="0" w:firstLine="0"/>
    </w:pPr>
    <w:rPr>
      <w:noProof/>
    </w:rPr>
  </w:style>
  <w:style w:type="character" w:styleId="aff5">
    <w:name w:val="Placeholder Text"/>
    <w:uiPriority w:val="99"/>
    <w:semiHidden/>
    <w:rsid w:val="00332994"/>
    <w:rPr>
      <w:color w:val="808080"/>
    </w:rPr>
  </w:style>
  <w:style w:type="paragraph" w:styleId="aff6">
    <w:name w:val="Body Text"/>
    <w:basedOn w:val="a"/>
    <w:link w:val="aff7"/>
    <w:autoRedefine/>
    <w:uiPriority w:val="1"/>
    <w:qFormat/>
    <w:rsid w:val="00332994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7">
    <w:name w:val="正文文本 字符"/>
    <w:link w:val="aff6"/>
    <w:uiPriority w:val="1"/>
    <w:rsid w:val="00332994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8">
    <w:name w:val="致谢部分"/>
    <w:basedOn w:val="aff6"/>
    <w:link w:val="aff9"/>
    <w:autoRedefine/>
    <w:qFormat/>
    <w:rsid w:val="00332994"/>
    <w:pPr>
      <w:ind w:firstLineChars="0" w:firstLine="0"/>
    </w:pPr>
    <w:rPr>
      <w:b/>
      <w:sz w:val="24"/>
      <w:szCs w:val="24"/>
    </w:rPr>
  </w:style>
  <w:style w:type="character" w:customStyle="1" w:styleId="aff9">
    <w:name w:val="致谢部分 字符"/>
    <w:link w:val="aff8"/>
    <w:rsid w:val="00332994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a">
    <w:name w:val="作者信息"/>
    <w:basedOn w:val="a"/>
    <w:autoRedefine/>
    <w:qFormat/>
    <w:rsid w:val="00332994"/>
    <w:pPr>
      <w:ind w:firstLineChars="0" w:firstLine="0"/>
    </w:pPr>
  </w:style>
  <w:style w:type="character" w:customStyle="1" w:styleId="a5">
    <w:name w:val="批注文字 字符"/>
    <w:basedOn w:val="a0"/>
    <w:link w:val="a4"/>
    <w:uiPriority w:val="99"/>
    <w:rsid w:val="00EF0122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affb">
    <w:name w:val="annotation subject"/>
    <w:basedOn w:val="a4"/>
    <w:next w:val="a4"/>
    <w:link w:val="affc"/>
    <w:uiPriority w:val="99"/>
    <w:semiHidden/>
    <w:unhideWhenUsed/>
    <w:rsid w:val="00EF0122"/>
    <w:rPr>
      <w:b/>
      <w:bCs/>
    </w:rPr>
  </w:style>
  <w:style w:type="character" w:customStyle="1" w:styleId="affc">
    <w:name w:val="批注主题 字符"/>
    <w:basedOn w:val="a5"/>
    <w:link w:val="affb"/>
    <w:uiPriority w:val="99"/>
    <w:semiHidden/>
    <w:rsid w:val="00EF0122"/>
    <w:rPr>
      <w:rFonts w:ascii="Times New Roman" w:eastAsia="Times New Roman" w:hAnsi="Times New Roman" w:cs="Times New Roman"/>
      <w:b/>
      <w:bCs/>
      <w:sz w:val="21"/>
      <w:szCs w:val="21"/>
      <w:lang w:val="en-US" w:eastAsia="zh-CN"/>
      <w14:ligatures w14:val="none"/>
    </w:rPr>
  </w:style>
  <w:style w:type="paragraph" w:styleId="affd">
    <w:name w:val="Balloon Text"/>
    <w:basedOn w:val="a"/>
    <w:link w:val="affe"/>
    <w:uiPriority w:val="99"/>
    <w:semiHidden/>
    <w:unhideWhenUsed/>
    <w:rsid w:val="00EF0122"/>
    <w:rPr>
      <w:sz w:val="18"/>
      <w:szCs w:val="18"/>
    </w:rPr>
  </w:style>
  <w:style w:type="character" w:customStyle="1" w:styleId="affe">
    <w:name w:val="批注框文本 字符"/>
    <w:basedOn w:val="a0"/>
    <w:link w:val="affd"/>
    <w:uiPriority w:val="99"/>
    <w:semiHidden/>
    <w:rsid w:val="00EF0122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f">
    <w:name w:val="Revision"/>
    <w:hidden/>
    <w:uiPriority w:val="99"/>
    <w:semiHidden/>
    <w:rsid w:val="00762FC7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6615-80A3-45A9-897A-AA41C5C8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Belletti</dc:creator>
  <cp:keywords/>
  <dc:description/>
  <cp:lastModifiedBy>Emilia</cp:lastModifiedBy>
  <cp:revision>8</cp:revision>
  <dcterms:created xsi:type="dcterms:W3CDTF">2025-10-02T12:57:00Z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http://www.zotero.org/styles/european-heart-journal</vt:lpwstr>
  </property>
  <property fmtid="{D5CDD505-2E9C-101B-9397-08002B2CF9AE}" pid="15" name="Mendeley Recent Style Name 6_1">
    <vt:lpwstr>European Heart Journal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33a1a277-3ffd-39a6-8297-f667d9b6ab5c</vt:lpwstr>
  </property>
  <property fmtid="{D5CDD505-2E9C-101B-9397-08002B2CF9AE}" pid="24" name="Mendeley Citation Style_1">
    <vt:lpwstr>http://www.zotero.org/styles/american-medical-association</vt:lpwstr>
  </property>
</Properties>
</file>